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30F31" w14:textId="4450B409" w:rsidR="00C439A3" w:rsidRDefault="00F8696D" w:rsidP="004563C6">
      <w:pPr>
        <w:jc w:val="center"/>
      </w:pPr>
      <w:bookmarkStart w:id="0" w:name="_GoBack"/>
      <w:bookmarkEnd w:id="0"/>
      <w:r>
        <w:rPr>
          <w:noProof/>
        </w:rPr>
        <w:drawing>
          <wp:inline distT="0" distB="0" distL="0" distR="0" wp14:anchorId="7F141EE7" wp14:editId="67179BAD">
            <wp:extent cx="971550" cy="958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58850"/>
                    </a:xfrm>
                    <a:prstGeom prst="rect">
                      <a:avLst/>
                    </a:prstGeom>
                    <a:noFill/>
                    <a:ln>
                      <a:noFill/>
                    </a:ln>
                  </pic:spPr>
                </pic:pic>
              </a:graphicData>
            </a:graphic>
          </wp:inline>
        </w:drawing>
      </w:r>
    </w:p>
    <w:p w14:paraId="07349623" w14:textId="77777777" w:rsidR="004563C6" w:rsidRDefault="004563C6">
      <w:pPr>
        <w:jc w:val="right"/>
      </w:pPr>
    </w:p>
    <w:p w14:paraId="44EA9B6C" w14:textId="027CE91F" w:rsidR="00C439A3" w:rsidRDefault="00C439A3">
      <w:pPr>
        <w:pStyle w:val="CoverText"/>
        <w:jc w:val="left"/>
        <w:rPr>
          <w:bCs/>
          <w:sz w:val="20"/>
          <w:u w:val="none"/>
        </w:rPr>
      </w:pPr>
      <w:r>
        <w:rPr>
          <w:bCs/>
        </w:rPr>
        <w:t xml:space="preserve">Neutral Citation Number: </w:t>
      </w:r>
      <w:r w:rsidR="0033143C">
        <w:rPr>
          <w:bCs/>
        </w:rPr>
        <w:t>[2025] EWCA Civ 1383</w:t>
      </w:r>
      <w:r>
        <w:rPr>
          <w:bCs/>
        </w:rPr>
        <w:br/>
      </w:r>
    </w:p>
    <w:p w14:paraId="77596927" w14:textId="1A7A3CCE" w:rsidR="00C439A3" w:rsidRDefault="00C439A3">
      <w:pPr>
        <w:pStyle w:val="CoverText"/>
        <w:rPr>
          <w:b/>
          <w:spacing w:val="-3"/>
        </w:rPr>
      </w:pPr>
      <w:r>
        <w:t xml:space="preserve">Case No: </w:t>
      </w:r>
      <w:r w:rsidR="00717F80">
        <w:t>CA-2025-001926</w:t>
      </w:r>
    </w:p>
    <w:p w14:paraId="3C240517"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5B25D0">
        <w:t>CIVIL</w:t>
      </w:r>
      <w:r>
        <w:t xml:space="preserve"> DIVISION)</w:t>
      </w:r>
    </w:p>
    <w:p w14:paraId="4CE40A03" w14:textId="38FD1256"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5B25D0">
        <w:t>THE HIGH COURT OF JUSTICE, BUSINESS AND PROPERTY COURTS OF ENGLAND AND WALES, INTELLECTUAL PROPERTY LIST (ChD), PATENTS COURT</w:t>
      </w:r>
    </w:p>
    <w:p w14:paraId="6360F9F1" w14:textId="12DF1EDF" w:rsidR="00C439A3" w:rsidRDefault="005B25D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Mr Justice Mellor</w:t>
      </w:r>
    </w:p>
    <w:p w14:paraId="1A617F20" w14:textId="4E317897" w:rsidR="00C439A3" w:rsidRDefault="005B25D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[2025] EWHC 1432 (Pat)</w:t>
      </w:r>
    </w:p>
    <w:p w14:paraId="2956A9AC" w14:textId="77777777" w:rsidR="00C439A3" w:rsidRDefault="00C439A3">
      <w:pPr>
        <w:pStyle w:val="CoverText"/>
      </w:pPr>
      <w:r>
        <w:t>Royal Courts of Justice</w:t>
      </w:r>
    </w:p>
    <w:p w14:paraId="7CB7E40D" w14:textId="77777777" w:rsidR="00C439A3" w:rsidRDefault="00C439A3">
      <w:pPr>
        <w:pStyle w:val="CoverText"/>
      </w:pPr>
      <w:r>
        <w:t>Strand, London, WC2A 2LL</w:t>
      </w:r>
    </w:p>
    <w:p w14:paraId="35B4CC3F" w14:textId="77777777" w:rsidR="00C439A3" w:rsidRDefault="00C439A3">
      <w:pPr>
        <w:suppressAutoHyphens/>
        <w:jc w:val="right"/>
        <w:rPr>
          <w:spacing w:val="-3"/>
          <w:u w:val="single"/>
        </w:rPr>
      </w:pPr>
    </w:p>
    <w:p w14:paraId="740C5ABC" w14:textId="086C39E4" w:rsidR="00C439A3" w:rsidRDefault="00C439A3">
      <w:pPr>
        <w:pStyle w:val="CoverText"/>
        <w:rPr>
          <w:b/>
        </w:rPr>
      </w:pPr>
      <w:r>
        <w:t xml:space="preserve">Date: </w:t>
      </w:r>
      <w:r w:rsidR="00D6087F">
        <w:t>31 October 2025</w:t>
      </w:r>
    </w:p>
    <w:p w14:paraId="1901D3F0" w14:textId="77777777" w:rsidR="00C439A3" w:rsidRDefault="00C439A3">
      <w:pPr>
        <w:suppressAutoHyphens/>
        <w:jc w:val="center"/>
        <w:rPr>
          <w:b/>
          <w:spacing w:val="-3"/>
        </w:rPr>
      </w:pPr>
      <w:r>
        <w:rPr>
          <w:b/>
          <w:spacing w:val="-3"/>
        </w:rPr>
        <w:t>Before :</w:t>
      </w:r>
    </w:p>
    <w:p w14:paraId="762C588E" w14:textId="77777777" w:rsidR="00C439A3" w:rsidRDefault="00C439A3">
      <w:pPr>
        <w:suppressAutoHyphens/>
        <w:jc w:val="center"/>
        <w:rPr>
          <w:spacing w:val="-3"/>
        </w:rPr>
      </w:pPr>
    </w:p>
    <w:p w14:paraId="1E4E2C89" w14:textId="0F2B85A1" w:rsidR="00C439A3" w:rsidRDefault="005B25D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PETER JACKSON</w:t>
      </w:r>
    </w:p>
    <w:p w14:paraId="380F3B71" w14:textId="43538AB3" w:rsidR="00C439A3" w:rsidRDefault="005B25D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ARNOLD</w:t>
      </w:r>
      <w:r w:rsidR="00C439A3">
        <w:br/>
      </w:r>
      <w:r w:rsidR="00C439A3">
        <w:rPr>
          <w:b w:val="0"/>
          <w:bCs/>
          <w:u w:val="none"/>
        </w:rPr>
        <w:t>and</w:t>
      </w:r>
    </w:p>
    <w:p w14:paraId="3B683651" w14:textId="1BDA9E19" w:rsidR="00C439A3" w:rsidRDefault="005B25D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BIRSS</w:t>
      </w:r>
    </w:p>
    <w:p w14:paraId="27F89A38" w14:textId="77777777" w:rsidR="00C439A3" w:rsidRDefault="00C439A3">
      <w:pPr>
        <w:suppressAutoHyphens/>
        <w:jc w:val="center"/>
        <w:rPr>
          <w:spacing w:val="-3"/>
        </w:rPr>
      </w:pPr>
      <w:r>
        <w:rPr>
          <w:spacing w:val="-3"/>
        </w:rPr>
        <w:t>- - - - - - - - - - - - - - - - - - - - -</w:t>
      </w:r>
    </w:p>
    <w:p w14:paraId="07411330" w14:textId="77777777" w:rsidR="00C439A3" w:rsidRDefault="00C439A3">
      <w:pPr>
        <w:suppressAutoHyphens/>
        <w:jc w:val="center"/>
        <w:rPr>
          <w:b/>
          <w:spacing w:val="-3"/>
        </w:rPr>
      </w:pPr>
      <w:r>
        <w:rPr>
          <w:b/>
          <w:spacing w:val="-3"/>
        </w:rPr>
        <w:t>Between :</w:t>
      </w:r>
    </w:p>
    <w:p w14:paraId="6689DECB" w14:textId="77777777" w:rsidR="00C439A3" w:rsidRDefault="00C439A3">
      <w:pPr>
        <w:suppressAutoHyphens/>
        <w:rPr>
          <w:b/>
          <w:spacing w:val="-3"/>
        </w:rPr>
      </w:pPr>
    </w:p>
    <w:tbl>
      <w:tblPr>
        <w:tblW w:w="9144" w:type="dxa"/>
        <w:tblInd w:w="144" w:type="dxa"/>
        <w:tblLayout w:type="fixed"/>
        <w:tblLook w:val="0000" w:firstRow="0" w:lastRow="0" w:firstColumn="0" w:lastColumn="0" w:noHBand="0" w:noVBand="0"/>
      </w:tblPr>
      <w:tblGrid>
        <w:gridCol w:w="1314"/>
        <w:gridCol w:w="6210"/>
        <w:gridCol w:w="1620"/>
      </w:tblGrid>
      <w:tr w:rsidR="00C439A3" w14:paraId="3072EFBA" w14:textId="77777777" w:rsidTr="00CC66EB">
        <w:tc>
          <w:tcPr>
            <w:tcW w:w="1314" w:type="dxa"/>
          </w:tcPr>
          <w:p w14:paraId="52350117" w14:textId="77777777" w:rsidR="00C439A3" w:rsidRDefault="00C439A3">
            <w:pPr>
              <w:suppressAutoHyphens/>
              <w:rPr>
                <w:b/>
                <w:spacing w:val="-3"/>
              </w:rPr>
            </w:pPr>
          </w:p>
        </w:tc>
        <w:tc>
          <w:tcPr>
            <w:tcW w:w="6210" w:type="dxa"/>
          </w:tcPr>
          <w:p w14:paraId="4356E2CE" w14:textId="62782032" w:rsidR="00C439A3" w:rsidRDefault="005B25D0" w:rsidP="005B25D0">
            <w:pPr>
              <w:numPr>
                <w:ilvl w:val="0"/>
                <w:numId w:val="11"/>
              </w:numPr>
              <w:suppressAutoHyphens/>
              <w:jc w:val="center"/>
              <w:rPr>
                <w:b/>
                <w:spacing w:val="-3"/>
              </w:rPr>
            </w:pPr>
            <w:r>
              <w:rPr>
                <w:b/>
                <w:spacing w:val="-3"/>
              </w:rPr>
              <w:t>SAMSUNG ELECTRONICS CO</w:t>
            </w:r>
            <w:r w:rsidR="00195457">
              <w:rPr>
                <w:b/>
                <w:spacing w:val="-3"/>
              </w:rPr>
              <w:t>.</w:t>
            </w:r>
            <w:r>
              <w:rPr>
                <w:b/>
                <w:spacing w:val="-3"/>
              </w:rPr>
              <w:t>, LTD</w:t>
            </w:r>
          </w:p>
          <w:p w14:paraId="5677A60C" w14:textId="261069F1" w:rsidR="005B25D0" w:rsidRDefault="005B25D0" w:rsidP="005B25D0">
            <w:pPr>
              <w:numPr>
                <w:ilvl w:val="0"/>
                <w:numId w:val="11"/>
              </w:numPr>
              <w:suppressAutoHyphens/>
              <w:jc w:val="center"/>
              <w:rPr>
                <w:b/>
                <w:spacing w:val="-3"/>
              </w:rPr>
            </w:pPr>
            <w:r>
              <w:rPr>
                <w:b/>
                <w:spacing w:val="-3"/>
              </w:rPr>
              <w:t>SAMSUNG ELECTRONICS (UK) LIMITED</w:t>
            </w:r>
          </w:p>
        </w:tc>
        <w:tc>
          <w:tcPr>
            <w:tcW w:w="1620" w:type="dxa"/>
          </w:tcPr>
          <w:p w14:paraId="4729FA44" w14:textId="070A7D15" w:rsidR="00C439A3" w:rsidRDefault="005B25D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Claimants/ Respondents </w:t>
            </w:r>
          </w:p>
        </w:tc>
      </w:tr>
      <w:tr w:rsidR="00C439A3" w14:paraId="648DA7A4" w14:textId="77777777" w:rsidTr="00CC66EB">
        <w:tc>
          <w:tcPr>
            <w:tcW w:w="1314" w:type="dxa"/>
          </w:tcPr>
          <w:p w14:paraId="44637110" w14:textId="77777777" w:rsidR="00C439A3" w:rsidRDefault="00C439A3">
            <w:pPr>
              <w:suppressAutoHyphens/>
              <w:rPr>
                <w:b/>
                <w:spacing w:val="-3"/>
              </w:rPr>
            </w:pPr>
          </w:p>
        </w:tc>
        <w:tc>
          <w:tcPr>
            <w:tcW w:w="6210" w:type="dxa"/>
          </w:tcPr>
          <w:p w14:paraId="35F53905" w14:textId="77777777" w:rsidR="00C439A3" w:rsidRDefault="00C439A3">
            <w:pPr>
              <w:tabs>
                <w:tab w:val="center" w:pos="3312"/>
              </w:tabs>
              <w:suppressAutoHyphens/>
              <w:jc w:val="center"/>
              <w:rPr>
                <w:b/>
                <w:spacing w:val="-3"/>
              </w:rPr>
            </w:pPr>
            <w:r>
              <w:rPr>
                <w:b/>
                <w:spacing w:val="-3"/>
              </w:rPr>
              <w:t>- and -</w:t>
            </w:r>
          </w:p>
        </w:tc>
        <w:tc>
          <w:tcPr>
            <w:tcW w:w="1620" w:type="dxa"/>
          </w:tcPr>
          <w:p w14:paraId="1B99563A" w14:textId="77777777" w:rsidR="00C439A3" w:rsidRDefault="00C439A3">
            <w:pPr>
              <w:suppressAutoHyphens/>
              <w:jc w:val="right"/>
              <w:rPr>
                <w:b/>
                <w:spacing w:val="-3"/>
              </w:rPr>
            </w:pPr>
          </w:p>
        </w:tc>
      </w:tr>
      <w:tr w:rsidR="00C439A3" w14:paraId="2E958C16" w14:textId="77777777" w:rsidTr="00CC66EB">
        <w:tc>
          <w:tcPr>
            <w:tcW w:w="1314" w:type="dxa"/>
          </w:tcPr>
          <w:p w14:paraId="29651DBD" w14:textId="77777777" w:rsidR="00C439A3" w:rsidRDefault="00C439A3">
            <w:pPr>
              <w:suppressAutoHyphens/>
              <w:rPr>
                <w:b/>
                <w:spacing w:val="-3"/>
              </w:rPr>
            </w:pPr>
          </w:p>
        </w:tc>
        <w:tc>
          <w:tcPr>
            <w:tcW w:w="6210" w:type="dxa"/>
          </w:tcPr>
          <w:p w14:paraId="6DD14525" w14:textId="77777777" w:rsidR="00C439A3" w:rsidRDefault="005B25D0">
            <w:pPr>
              <w:tabs>
                <w:tab w:val="center" w:pos="3312"/>
              </w:tabs>
              <w:suppressAutoHyphens/>
              <w:jc w:val="center"/>
              <w:rPr>
                <w:b/>
                <w:spacing w:val="-3"/>
              </w:rPr>
            </w:pPr>
            <w:r>
              <w:rPr>
                <w:b/>
                <w:spacing w:val="-3"/>
              </w:rPr>
              <w:t>(1) ZTE CORPORATION</w:t>
            </w:r>
          </w:p>
          <w:p w14:paraId="529EE67D" w14:textId="77777777" w:rsidR="005B25D0" w:rsidRDefault="005B25D0">
            <w:pPr>
              <w:tabs>
                <w:tab w:val="center" w:pos="3312"/>
              </w:tabs>
              <w:suppressAutoHyphens/>
              <w:jc w:val="center"/>
              <w:rPr>
                <w:b/>
                <w:spacing w:val="-3"/>
              </w:rPr>
            </w:pPr>
            <w:r>
              <w:rPr>
                <w:b/>
                <w:spacing w:val="-3"/>
              </w:rPr>
              <w:t>(2) ZTE (UK) LIMITED</w:t>
            </w:r>
          </w:p>
          <w:p w14:paraId="55556B2F" w14:textId="77777777" w:rsidR="005B25D0" w:rsidRDefault="005B25D0">
            <w:pPr>
              <w:tabs>
                <w:tab w:val="center" w:pos="3312"/>
              </w:tabs>
              <w:suppressAutoHyphens/>
              <w:jc w:val="center"/>
              <w:rPr>
                <w:b/>
                <w:spacing w:val="-3"/>
              </w:rPr>
            </w:pPr>
            <w:r>
              <w:rPr>
                <w:b/>
                <w:spacing w:val="-3"/>
              </w:rPr>
              <w:t>(3) NUBIA TECHNOLOGY CO., LTD</w:t>
            </w:r>
          </w:p>
          <w:p w14:paraId="3E4082A1" w14:textId="77777777" w:rsidR="005B25D0" w:rsidRDefault="005B25D0">
            <w:pPr>
              <w:tabs>
                <w:tab w:val="center" w:pos="3312"/>
              </w:tabs>
              <w:suppressAutoHyphens/>
              <w:jc w:val="center"/>
              <w:rPr>
                <w:b/>
                <w:spacing w:val="-3"/>
              </w:rPr>
            </w:pPr>
            <w:r>
              <w:rPr>
                <w:b/>
                <w:spacing w:val="-3"/>
              </w:rPr>
              <w:t>(4) LIVEWIRE TELECOM LIMITED</w:t>
            </w:r>
          </w:p>
          <w:p w14:paraId="2732A95D" w14:textId="3065A7CA" w:rsidR="005B25D0" w:rsidRDefault="005B25D0">
            <w:pPr>
              <w:tabs>
                <w:tab w:val="center" w:pos="3312"/>
              </w:tabs>
              <w:suppressAutoHyphens/>
              <w:jc w:val="center"/>
              <w:rPr>
                <w:b/>
                <w:spacing w:val="-3"/>
              </w:rPr>
            </w:pPr>
            <w:r>
              <w:rPr>
                <w:b/>
                <w:spacing w:val="-3"/>
              </w:rPr>
              <w:t>(5) EFONES.COM LIMITED</w:t>
            </w:r>
          </w:p>
        </w:tc>
        <w:tc>
          <w:tcPr>
            <w:tcW w:w="1620" w:type="dxa"/>
          </w:tcPr>
          <w:p w14:paraId="5D98161F" w14:textId="50B38CD2" w:rsidR="00C439A3" w:rsidRDefault="005B25D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Defendants/ Appellants</w:t>
            </w:r>
          </w:p>
        </w:tc>
      </w:tr>
    </w:tbl>
    <w:p w14:paraId="3A2C0641" w14:textId="77777777" w:rsidR="00C439A3" w:rsidRDefault="00C439A3">
      <w:pPr>
        <w:suppressAutoHyphens/>
        <w:rPr>
          <w:b/>
          <w:spacing w:val="-3"/>
        </w:rPr>
      </w:pPr>
    </w:p>
    <w:p w14:paraId="45F8B26C" w14:textId="77777777" w:rsidR="00C439A3" w:rsidRDefault="00C439A3">
      <w:pPr>
        <w:suppressAutoHyphens/>
        <w:jc w:val="center"/>
        <w:rPr>
          <w:spacing w:val="-3"/>
        </w:rPr>
      </w:pPr>
      <w:r>
        <w:rPr>
          <w:spacing w:val="-3"/>
        </w:rPr>
        <w:t>- - - - - - - - - - - - - - - - - - - - -</w:t>
      </w:r>
    </w:p>
    <w:p w14:paraId="70E1A5A9" w14:textId="77777777" w:rsidR="00C439A3" w:rsidRDefault="00C439A3">
      <w:pPr>
        <w:suppressAutoHyphens/>
        <w:jc w:val="center"/>
        <w:rPr>
          <w:spacing w:val="-3"/>
        </w:rPr>
      </w:pPr>
      <w:r>
        <w:rPr>
          <w:spacing w:val="-3"/>
        </w:rPr>
        <w:t>- - - - - - - - - - - - - - - - - - - - -</w:t>
      </w:r>
    </w:p>
    <w:p w14:paraId="1B9D28BA" w14:textId="77777777" w:rsidR="00C439A3" w:rsidRDefault="00C439A3">
      <w:pPr>
        <w:suppressAutoHyphens/>
        <w:jc w:val="center"/>
        <w:rPr>
          <w:spacing w:val="-3"/>
        </w:rPr>
      </w:pPr>
    </w:p>
    <w:p w14:paraId="7730236F" w14:textId="6E06F0A6" w:rsidR="00C439A3" w:rsidRDefault="005B25D0">
      <w:pPr>
        <w:suppressAutoHyphens/>
        <w:jc w:val="center"/>
        <w:rPr>
          <w:bCs/>
          <w:spacing w:val="-3"/>
        </w:rPr>
      </w:pPr>
      <w:r>
        <w:rPr>
          <w:b/>
          <w:spacing w:val="-3"/>
        </w:rPr>
        <w:t>Sarah Abram KC and Ligia Os</w:t>
      </w:r>
      <w:r w:rsidR="00D37F02">
        <w:rPr>
          <w:b/>
          <w:spacing w:val="-3"/>
        </w:rPr>
        <w:t>e</w:t>
      </w:r>
      <w:r>
        <w:rPr>
          <w:b/>
          <w:spacing w:val="-3"/>
        </w:rPr>
        <w:t>pciu</w:t>
      </w:r>
      <w:r w:rsidR="00C439A3">
        <w:rPr>
          <w:bCs/>
          <w:spacing w:val="-3"/>
        </w:rPr>
        <w:t xml:space="preserve"> (instructed by </w:t>
      </w:r>
      <w:r>
        <w:rPr>
          <w:b/>
          <w:spacing w:val="-3"/>
        </w:rPr>
        <w:t>Powell Gilbert LLP</w:t>
      </w:r>
      <w:r w:rsidR="00C439A3">
        <w:rPr>
          <w:bCs/>
          <w:spacing w:val="-3"/>
        </w:rPr>
        <w:t xml:space="preserve">) for the </w:t>
      </w:r>
      <w:r>
        <w:rPr>
          <w:b/>
          <w:spacing w:val="-3"/>
        </w:rPr>
        <w:t>Appellants</w:t>
      </w:r>
    </w:p>
    <w:p w14:paraId="0CCC5E8D" w14:textId="7D5CEE20" w:rsidR="00C439A3" w:rsidRDefault="005B25D0">
      <w:pPr>
        <w:suppressAutoHyphens/>
        <w:jc w:val="center"/>
        <w:rPr>
          <w:bCs/>
          <w:spacing w:val="-3"/>
        </w:rPr>
      </w:pPr>
      <w:r>
        <w:rPr>
          <w:b/>
          <w:spacing w:val="-3"/>
        </w:rPr>
        <w:t>Daniel Alexander KC and Henry Ward</w:t>
      </w:r>
      <w:r w:rsidR="00C439A3">
        <w:rPr>
          <w:b/>
          <w:spacing w:val="-3"/>
        </w:rPr>
        <w:t xml:space="preserve"> </w:t>
      </w:r>
      <w:r w:rsidR="00C439A3">
        <w:rPr>
          <w:bCs/>
          <w:spacing w:val="-3"/>
        </w:rPr>
        <w:t>(instructed by</w:t>
      </w:r>
      <w:r w:rsidR="00C439A3">
        <w:rPr>
          <w:b/>
          <w:spacing w:val="-3"/>
        </w:rPr>
        <w:t xml:space="preserve"> </w:t>
      </w:r>
      <w:r>
        <w:rPr>
          <w:b/>
          <w:spacing w:val="-3"/>
        </w:rPr>
        <w:t>Kirkland &amp; Ellis International LLP</w:t>
      </w:r>
      <w:r w:rsidR="00C439A3">
        <w:rPr>
          <w:bCs/>
          <w:spacing w:val="-3"/>
        </w:rPr>
        <w:t xml:space="preserve">) for the </w:t>
      </w:r>
      <w:r>
        <w:rPr>
          <w:b/>
          <w:spacing w:val="-3"/>
        </w:rPr>
        <w:t>Respondents</w:t>
      </w:r>
    </w:p>
    <w:p w14:paraId="1753F934" w14:textId="77777777" w:rsidR="00C439A3" w:rsidRDefault="00C439A3">
      <w:pPr>
        <w:suppressAutoHyphens/>
        <w:jc w:val="center"/>
        <w:rPr>
          <w:b/>
          <w:spacing w:val="-3"/>
        </w:rPr>
      </w:pPr>
    </w:p>
    <w:p w14:paraId="0B8BF94A" w14:textId="367A5F7A" w:rsidR="00C439A3" w:rsidRDefault="00C439A3">
      <w:pPr>
        <w:suppressAutoHyphens/>
        <w:jc w:val="center"/>
        <w:rPr>
          <w:spacing w:val="-3"/>
        </w:rPr>
      </w:pPr>
      <w:r>
        <w:rPr>
          <w:spacing w:val="-3"/>
        </w:rPr>
        <w:t xml:space="preserve">Hearing date : </w:t>
      </w:r>
      <w:r w:rsidR="005B25D0">
        <w:rPr>
          <w:spacing w:val="-3"/>
        </w:rPr>
        <w:t>28 October 2025</w:t>
      </w:r>
    </w:p>
    <w:p w14:paraId="13E7449B" w14:textId="77777777" w:rsidR="00C439A3" w:rsidRDefault="00C439A3">
      <w:pPr>
        <w:suppressAutoHyphens/>
        <w:jc w:val="center"/>
        <w:rPr>
          <w:spacing w:val="-3"/>
        </w:rPr>
      </w:pPr>
      <w:r>
        <w:rPr>
          <w:spacing w:val="-3"/>
        </w:rPr>
        <w:t>- - - - - - - - - - - - - - - - - - - - -</w:t>
      </w:r>
    </w:p>
    <w:p w14:paraId="2A3FB50B" w14:textId="3102545A" w:rsidR="00C439A3" w:rsidRDefault="004563C6" w:rsidP="004563C6">
      <w:pPr>
        <w:pStyle w:val="CoverDesc"/>
      </w:pPr>
      <w:r>
        <w:t>Approved Judgment</w:t>
      </w:r>
    </w:p>
    <w:p w14:paraId="53C20369" w14:textId="77777777" w:rsidR="004563C6" w:rsidRDefault="004563C6" w:rsidP="004563C6">
      <w:pPr>
        <w:jc w:val="center"/>
      </w:pPr>
      <w:r>
        <w:t xml:space="preserve"> </w:t>
      </w:r>
    </w:p>
    <w:p w14:paraId="6E4C9C14" w14:textId="50AAE185" w:rsidR="004563C6" w:rsidRDefault="004563C6" w:rsidP="004563C6">
      <w:pPr>
        <w:jc w:val="center"/>
      </w:pPr>
      <w:r>
        <w:t>This judgment was handed down remotely at</w:t>
      </w:r>
      <w:r w:rsidR="00F8696D">
        <w:t xml:space="preserve"> 4pm </w:t>
      </w:r>
      <w:r>
        <w:t xml:space="preserve">on </w:t>
      </w:r>
      <w:r w:rsidR="00060C4B">
        <w:t>31 October 2025</w:t>
      </w:r>
      <w:r>
        <w:t xml:space="preserve"> by circulation to the parties or their representatives by e-mail and by release to the National Archives.</w:t>
      </w:r>
    </w:p>
    <w:p w14:paraId="5D2C2B90" w14:textId="77777777" w:rsidR="004563C6" w:rsidRDefault="004563C6" w:rsidP="004563C6">
      <w:pPr>
        <w:jc w:val="center"/>
      </w:pPr>
    </w:p>
    <w:p w14:paraId="6E5AA00C" w14:textId="77777777" w:rsidR="004563C6" w:rsidRDefault="004563C6" w:rsidP="004563C6">
      <w:pPr>
        <w:jc w:val="center"/>
      </w:pPr>
      <w:r>
        <w:t>.............................</w:t>
      </w:r>
    </w:p>
    <w:p w14:paraId="3B098E8C" w14:textId="02902150" w:rsidR="004563C6" w:rsidRPr="004563C6" w:rsidRDefault="004563C6" w:rsidP="004563C6">
      <w:pPr>
        <w:jc w:val="center"/>
      </w:pPr>
    </w:p>
    <w:p w14:paraId="635B830A" w14:textId="77777777" w:rsidR="00E90A25" w:rsidRDefault="00E90A25">
      <w:pPr>
        <w:sectPr w:rsidR="00E90A25">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bookmarkStart w:id="1" w:name="bkCACaveat3"/>
      <w:bookmarkEnd w:id="1"/>
    </w:p>
    <w:p w14:paraId="48BF0C92" w14:textId="14B62C2F" w:rsidR="00C439A3" w:rsidRDefault="005B25D0">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Lord Justice Arnold</w:t>
      </w:r>
      <w:r w:rsidR="00C439A3">
        <w:rPr>
          <w:b/>
        </w:rPr>
        <w:t>:</w:t>
      </w:r>
      <w:r w:rsidR="00C439A3">
        <w:t xml:space="preserve"> </w:t>
      </w:r>
    </w:p>
    <w:p w14:paraId="2127D879" w14:textId="17A0ABBC" w:rsidR="009D2AB3" w:rsidRPr="00350476" w:rsidRDefault="009D2AB3" w:rsidP="004563C6">
      <w:pPr>
        <w:pStyle w:val="ParaHeading"/>
        <w:rPr>
          <w:u w:val="single"/>
        </w:rPr>
      </w:pPr>
      <w:r w:rsidRPr="00350476">
        <w:rPr>
          <w:u w:val="single"/>
        </w:rPr>
        <w:t>Introduction</w:t>
      </w:r>
    </w:p>
    <w:p w14:paraId="7447CA65" w14:textId="2D3FF4FA" w:rsidR="00E55AD8" w:rsidRDefault="00D31A60" w:rsidP="004563C6">
      <w:pPr>
        <w:pStyle w:val="ParaLevel1"/>
      </w:pPr>
      <w:r w:rsidRPr="00D31A60">
        <w:t xml:space="preserve">This </w:t>
      </w:r>
      <w:r>
        <w:t>is another appeal raising the question as to</w:t>
      </w:r>
      <w:r w:rsidRPr="00D31A60">
        <w:t xml:space="preserve"> whether a willing licensor of a portfolio of patents declared essential to one or more European Telecommunications Standards Institute (“ETSI”) standards (“standard-essential patents” or “SEPs”) would grant an implementer of those standards who has undertaken to take a licence to that portfolio on the terms to be determined by the Patents Court to be fair, reasonable and non-discriminatory (“FRAND”) an interim licence pending that determination</w:t>
      </w:r>
      <w:r w:rsidR="00CD6C42">
        <w:t xml:space="preserve">. It follows three decisions of this </w:t>
      </w:r>
      <w:r w:rsidR="00BD3A13">
        <w:t xml:space="preserve">Court </w:t>
      </w:r>
      <w:r w:rsidR="00CD6C42">
        <w:t>which have established the principle that, in an appropriate case</w:t>
      </w:r>
      <w:r w:rsidR="0069470C">
        <w:t xml:space="preserve">, the </w:t>
      </w:r>
      <w:r w:rsidR="00BD3A13">
        <w:t xml:space="preserve">Patents </w:t>
      </w:r>
      <w:r w:rsidR="0069470C">
        <w:t xml:space="preserve">Court may make a declaration that a SEP </w:t>
      </w:r>
      <w:r w:rsidR="00C70086">
        <w:t>owne</w:t>
      </w:r>
      <w:r w:rsidR="0069470C">
        <w:t xml:space="preserve">r </w:t>
      </w:r>
      <w:r w:rsidR="00DA187D">
        <w:t xml:space="preserve">would enter into such an interim licence: </w:t>
      </w:r>
      <w:r w:rsidR="000C41AE" w:rsidRPr="000C41AE">
        <w:rPr>
          <w:i/>
          <w:iCs/>
        </w:rPr>
        <w:t>Panasonic Holdings Corp v Xiaomi Technology UK Ltd</w:t>
      </w:r>
      <w:r w:rsidR="000C41AE" w:rsidRPr="000C41AE">
        <w:t> [2024] EWCA Civ 1143</w:t>
      </w:r>
      <w:r w:rsidR="000C41AE">
        <w:t>,</w:t>
      </w:r>
      <w:r w:rsidR="00B33CCF">
        <w:t xml:space="preserve"> [2005] RPC 2</w:t>
      </w:r>
      <w:r w:rsidR="00067476">
        <w:t xml:space="preserve"> (“</w:t>
      </w:r>
      <w:r w:rsidR="00067476" w:rsidRPr="00067476">
        <w:rPr>
          <w:i/>
          <w:iCs/>
        </w:rPr>
        <w:t>Panasonic v Xiaomi</w:t>
      </w:r>
      <w:r w:rsidR="00067476">
        <w:t>”)</w:t>
      </w:r>
      <w:r w:rsidR="00B33CCF">
        <w:t>;</w:t>
      </w:r>
      <w:r w:rsidR="000C41AE">
        <w:t xml:space="preserve"> </w:t>
      </w:r>
      <w:r w:rsidR="000C41AE" w:rsidRPr="000C41AE">
        <w:rPr>
          <w:i/>
          <w:iCs/>
        </w:rPr>
        <w:t xml:space="preserve">Alcatel Lucent SAS v Amazon Digital UK Ltd </w:t>
      </w:r>
      <w:r w:rsidR="000C41AE" w:rsidRPr="000C41AE">
        <w:t>[2025] EWCA Civ 43</w:t>
      </w:r>
      <w:r w:rsidR="001E6EDA">
        <w:t>,</w:t>
      </w:r>
      <w:r w:rsidR="0050696D">
        <w:t xml:space="preserve"> [2005] RPC 6</w:t>
      </w:r>
      <w:r w:rsidR="00067476">
        <w:t xml:space="preserve"> (“</w:t>
      </w:r>
      <w:r w:rsidR="00067476" w:rsidRPr="00067476">
        <w:rPr>
          <w:i/>
          <w:iCs/>
        </w:rPr>
        <w:t>Alcatel v Amazon</w:t>
      </w:r>
      <w:r w:rsidR="00067476">
        <w:t>”)</w:t>
      </w:r>
      <w:r w:rsidR="00B33CCF">
        <w:t>;</w:t>
      </w:r>
      <w:r w:rsidR="000C41AE">
        <w:t xml:space="preserve"> </w:t>
      </w:r>
      <w:r w:rsidR="000C41AE" w:rsidRPr="003619D1">
        <w:t>and</w:t>
      </w:r>
      <w:r w:rsidR="000C41AE" w:rsidRPr="003619D1">
        <w:rPr>
          <w:i/>
          <w:iCs/>
        </w:rPr>
        <w:t xml:space="preserve"> </w:t>
      </w:r>
      <w:r w:rsidR="00D66DFC" w:rsidRPr="003619D1">
        <w:rPr>
          <w:i/>
          <w:iCs/>
        </w:rPr>
        <w:t xml:space="preserve">Lenovo Group Ltd v </w:t>
      </w:r>
      <w:r w:rsidR="00CA3C67" w:rsidRPr="003619D1">
        <w:rPr>
          <w:i/>
          <w:iCs/>
        </w:rPr>
        <w:t>Telefonakt</w:t>
      </w:r>
      <w:r w:rsidR="005024D7">
        <w:rPr>
          <w:i/>
          <w:iCs/>
        </w:rPr>
        <w:t>i</w:t>
      </w:r>
      <w:r w:rsidR="00CA3C67" w:rsidRPr="003619D1">
        <w:rPr>
          <w:i/>
          <w:iCs/>
        </w:rPr>
        <w:t xml:space="preserve">ebolaget </w:t>
      </w:r>
      <w:r w:rsidR="00EB522A" w:rsidRPr="003619D1">
        <w:rPr>
          <w:i/>
          <w:iCs/>
        </w:rPr>
        <w:t>Ericsson</w:t>
      </w:r>
      <w:r w:rsidR="00CA3C67" w:rsidRPr="003619D1">
        <w:rPr>
          <w:i/>
          <w:iCs/>
        </w:rPr>
        <w:t xml:space="preserve"> (Publ)</w:t>
      </w:r>
      <w:r w:rsidR="00D66DFC">
        <w:t xml:space="preserve"> [2025] EWCA Civ 182</w:t>
      </w:r>
      <w:r w:rsidR="000170BA">
        <w:t xml:space="preserve">, [2005] RPC </w:t>
      </w:r>
      <w:r w:rsidR="00B468CD">
        <w:t>11</w:t>
      </w:r>
      <w:r w:rsidR="00CA3C67">
        <w:t xml:space="preserve"> (“</w:t>
      </w:r>
      <w:r w:rsidR="00CA3C67" w:rsidRPr="00350476">
        <w:rPr>
          <w:i/>
          <w:iCs/>
        </w:rPr>
        <w:t>Lenovo v Ericsson</w:t>
      </w:r>
      <w:r w:rsidR="00CA3C67">
        <w:t>”)</w:t>
      </w:r>
      <w:r w:rsidR="00D66DFC">
        <w:t>.</w:t>
      </w:r>
      <w:r w:rsidR="003619D1">
        <w:t xml:space="preserve"> This case differs from the previous </w:t>
      </w:r>
      <w:r w:rsidR="000630F0">
        <w:t xml:space="preserve">cases in that the parties agree that there should be an interim </w:t>
      </w:r>
      <w:r w:rsidR="003D4C1D">
        <w:t>cross</w:t>
      </w:r>
      <w:r w:rsidR="00944521">
        <w:t>-</w:t>
      </w:r>
      <w:r w:rsidR="000630F0">
        <w:t>licence, and even agree as to the</w:t>
      </w:r>
      <w:r w:rsidR="00090ACB">
        <w:t xml:space="preserve"> terms of the interim cross-licence, and in particular how much </w:t>
      </w:r>
      <w:r w:rsidR="000630F0">
        <w:t>should be paid</w:t>
      </w:r>
      <w:r w:rsidR="00BE3E33">
        <w:t xml:space="preserve"> for </w:t>
      </w:r>
      <w:r w:rsidR="00090ACB">
        <w:t>it</w:t>
      </w:r>
      <w:r w:rsidR="005F4612">
        <w:t xml:space="preserve"> (the amount is confidential)</w:t>
      </w:r>
      <w:r w:rsidR="001815F2">
        <w:t>. They</w:t>
      </w:r>
      <w:r w:rsidR="00BE3E33">
        <w:t xml:space="preserve"> disagree as to </w:t>
      </w:r>
      <w:r w:rsidR="00365644">
        <w:t xml:space="preserve">whether the </w:t>
      </w:r>
      <w:r w:rsidR="001748EC">
        <w:t xml:space="preserve">terms of the interim </w:t>
      </w:r>
      <w:r w:rsidR="00357263">
        <w:t>cross-</w:t>
      </w:r>
      <w:r w:rsidR="001748EC">
        <w:t>licence, and in particular the amount payable, s</w:t>
      </w:r>
      <w:r w:rsidR="003D4C1D">
        <w:t>h</w:t>
      </w:r>
      <w:r w:rsidR="001748EC">
        <w:t>ould be</w:t>
      </w:r>
      <w:r w:rsidR="003D4C1D">
        <w:t xml:space="preserve"> subject to adjustment</w:t>
      </w:r>
      <w:r w:rsidR="00357263">
        <w:t xml:space="preserve"> </w:t>
      </w:r>
      <w:r w:rsidR="00E71EFF">
        <w:t xml:space="preserve">so as to bring them into line with </w:t>
      </w:r>
      <w:r w:rsidR="00765CC4">
        <w:t xml:space="preserve">the terms </w:t>
      </w:r>
      <w:r w:rsidR="001815F2">
        <w:t xml:space="preserve">of the final cross-licence </w:t>
      </w:r>
      <w:r w:rsidR="00765CC4">
        <w:t>determined to be FRAND</w:t>
      </w:r>
      <w:r w:rsidR="00F5691A">
        <w:t xml:space="preserve"> </w:t>
      </w:r>
      <w:r w:rsidR="004E68E1">
        <w:t>by the Patents Court</w:t>
      </w:r>
      <w:r w:rsidR="00F22717">
        <w:t>, as the Claimants (“Samsung”) contend, or</w:t>
      </w:r>
      <w:r w:rsidR="00EF583B" w:rsidRPr="00EF583B">
        <w:rPr>
          <w:szCs w:val="24"/>
        </w:rPr>
        <w:t xml:space="preserve"> </w:t>
      </w:r>
      <w:r w:rsidR="00EF583B">
        <w:rPr>
          <w:szCs w:val="24"/>
        </w:rPr>
        <w:t>s</w:t>
      </w:r>
      <w:r w:rsidR="00EF583B" w:rsidRPr="00EF583B">
        <w:t xml:space="preserve">o as to bring them into line with the terms of the final cross-licence determined to be FRAND by </w:t>
      </w:r>
      <w:r w:rsidR="00E55891">
        <w:t xml:space="preserve">the Intermediate </w:t>
      </w:r>
      <w:r w:rsidR="004672C8">
        <w:t xml:space="preserve">People’s Court of </w:t>
      </w:r>
      <w:r w:rsidR="00EF583B">
        <w:t>Chon</w:t>
      </w:r>
      <w:r w:rsidR="004672C8">
        <w:t>g</w:t>
      </w:r>
      <w:r w:rsidR="00EF583B">
        <w:t>qing</w:t>
      </w:r>
      <w:r w:rsidR="004672C8">
        <w:t xml:space="preserve"> Municipality (“the Chongqing Court”)</w:t>
      </w:r>
      <w:r w:rsidR="00EF583B" w:rsidRPr="00EF583B">
        <w:t xml:space="preserve">, as the </w:t>
      </w:r>
      <w:r w:rsidR="00EF583B">
        <w:t>Defendants</w:t>
      </w:r>
      <w:r w:rsidR="00EF583B" w:rsidRPr="00EF583B">
        <w:t xml:space="preserve"> (“</w:t>
      </w:r>
      <w:r w:rsidR="00EF583B">
        <w:t>ZTE</w:t>
      </w:r>
      <w:r w:rsidR="00EF583B" w:rsidRPr="00EF583B">
        <w:t>”) contend</w:t>
      </w:r>
      <w:r w:rsidR="00EF583B">
        <w:t xml:space="preserve">. </w:t>
      </w:r>
      <w:r w:rsidR="00B711D8">
        <w:t>The appeal raises a</w:t>
      </w:r>
      <w:r w:rsidR="00350476">
        <w:t>n</w:t>
      </w:r>
      <w:r w:rsidR="00B711D8">
        <w:t xml:space="preserve"> </w:t>
      </w:r>
      <w:r w:rsidR="00BF390B">
        <w:t>important</w:t>
      </w:r>
      <w:r w:rsidR="00B711D8">
        <w:t xml:space="preserve"> issue of principle: does it constitute bad faith for a SEP </w:t>
      </w:r>
      <w:r w:rsidR="007F2099">
        <w:t>owner</w:t>
      </w:r>
      <w:r w:rsidR="00B711D8">
        <w:t xml:space="preserve"> to commence infringement proceedings </w:t>
      </w:r>
      <w:r w:rsidR="00DF2BD7">
        <w:t xml:space="preserve">in multiple courts with the objective of forcing an implementer to accept </w:t>
      </w:r>
      <w:r w:rsidR="004533A5">
        <w:t xml:space="preserve">determination of FRAND terms by the SEP </w:t>
      </w:r>
      <w:r w:rsidR="00C71055">
        <w:t>owne</w:t>
      </w:r>
      <w:r w:rsidR="004533A5">
        <w:t xml:space="preserve">r’s preferred court rather than the implementer’s preferred court? </w:t>
      </w:r>
      <w:r w:rsidR="00054984">
        <w:t xml:space="preserve">Mellor J answered that question in the affirmative for the reasons </w:t>
      </w:r>
      <w:r w:rsidR="006B3FAC">
        <w:t xml:space="preserve">given in his judgment dated 25 June 2025 [2025] EWHC 1432 (Pat). </w:t>
      </w:r>
      <w:r w:rsidR="004533A5">
        <w:t xml:space="preserve">I granted </w:t>
      </w:r>
      <w:r w:rsidR="004D22D4">
        <w:t xml:space="preserve">permission to </w:t>
      </w:r>
      <w:r w:rsidR="004533A5">
        <w:t>appeal and expedited the appeal.</w:t>
      </w:r>
      <w:r w:rsidR="004D22D4">
        <w:t xml:space="preserve"> I regret that, for reasons that it is unnecessary to go into, it was not possible to </w:t>
      </w:r>
      <w:r w:rsidR="00295025">
        <w:t>grant the appeal greater expedition.</w:t>
      </w:r>
    </w:p>
    <w:p w14:paraId="653ED0B3" w14:textId="493355EE" w:rsidR="0025729F" w:rsidRPr="00344AA4" w:rsidRDefault="00344AA4" w:rsidP="004563C6">
      <w:pPr>
        <w:pStyle w:val="ParaHeading"/>
        <w:jc w:val="both"/>
        <w:rPr>
          <w:u w:val="single"/>
        </w:rPr>
      </w:pPr>
      <w:r>
        <w:rPr>
          <w:u w:val="single"/>
        </w:rPr>
        <w:t>The g</w:t>
      </w:r>
      <w:r w:rsidR="0025729F" w:rsidRPr="00344AA4">
        <w:rPr>
          <w:u w:val="single"/>
        </w:rPr>
        <w:t>eneral background to disputes of this nature,</w:t>
      </w:r>
      <w:r>
        <w:rPr>
          <w:u w:val="single"/>
        </w:rPr>
        <w:t xml:space="preserve"> </w:t>
      </w:r>
      <w:r w:rsidR="00FA1F33">
        <w:rPr>
          <w:u w:val="single"/>
        </w:rPr>
        <w:t>basic legal principles applicable to the determination of FRAND terms</w:t>
      </w:r>
      <w:r w:rsidR="003B09A3">
        <w:rPr>
          <w:u w:val="single"/>
        </w:rPr>
        <w:t xml:space="preserve"> and legal principles appli</w:t>
      </w:r>
      <w:r w:rsidR="008E39D8">
        <w:rPr>
          <w:u w:val="single"/>
        </w:rPr>
        <w:t>c</w:t>
      </w:r>
      <w:r w:rsidR="003B09A3">
        <w:rPr>
          <w:u w:val="single"/>
        </w:rPr>
        <w:t>able to the grant of declarations</w:t>
      </w:r>
      <w:r w:rsidR="00FA1F33">
        <w:rPr>
          <w:u w:val="single"/>
        </w:rPr>
        <w:t xml:space="preserve"> </w:t>
      </w:r>
      <w:r w:rsidR="0025729F" w:rsidRPr="00344AA4">
        <w:rPr>
          <w:u w:val="single"/>
        </w:rPr>
        <w:t xml:space="preserve"> </w:t>
      </w:r>
    </w:p>
    <w:p w14:paraId="6FC8ED1D" w14:textId="77777777" w:rsidR="00D2423F" w:rsidRDefault="00E55AD8" w:rsidP="004563C6">
      <w:pPr>
        <w:pStyle w:val="ParaLevel1"/>
      </w:pPr>
      <w:r>
        <w:t xml:space="preserve">I </w:t>
      </w:r>
      <w:r w:rsidR="003B09A3">
        <w:t xml:space="preserve">set these matters out in my judgment in </w:t>
      </w:r>
      <w:r w:rsidR="003B09A3" w:rsidRPr="003B09A3">
        <w:rPr>
          <w:i/>
          <w:iCs/>
        </w:rPr>
        <w:t>Lenovo v Ericsson</w:t>
      </w:r>
      <w:r w:rsidR="003B09A3">
        <w:rPr>
          <w:i/>
          <w:iCs/>
        </w:rPr>
        <w:t xml:space="preserve"> </w:t>
      </w:r>
      <w:r w:rsidR="003B09A3">
        <w:t xml:space="preserve">at </w:t>
      </w:r>
      <w:r w:rsidR="00D45C9A">
        <w:t>[3]-[16], [17</w:t>
      </w:r>
      <w:r w:rsidR="00C121A9">
        <w:t>]-[26] and [27]</w:t>
      </w:r>
      <w:r w:rsidR="00D45C9A">
        <w:t>-</w:t>
      </w:r>
      <w:r w:rsidR="00C121A9">
        <w:t>[29] respectively. There is no point in repeating that exposition, and so I shall take it as read.</w:t>
      </w:r>
    </w:p>
    <w:p w14:paraId="07752743" w14:textId="7BEE4754" w:rsidR="00D2423F" w:rsidRPr="00D2423F" w:rsidRDefault="00D2423F" w:rsidP="004563C6">
      <w:pPr>
        <w:pStyle w:val="ParaHeading"/>
        <w:rPr>
          <w:u w:val="single"/>
        </w:rPr>
      </w:pPr>
      <w:r w:rsidRPr="00D2423F">
        <w:rPr>
          <w:u w:val="single"/>
        </w:rPr>
        <w:t>Interim licence declarations</w:t>
      </w:r>
      <w:r w:rsidR="005B350C">
        <w:rPr>
          <w:u w:val="single"/>
        </w:rPr>
        <w:t>: a brief summary of the principles</w:t>
      </w:r>
      <w:r w:rsidRPr="00D2423F">
        <w:rPr>
          <w:u w:val="single"/>
        </w:rPr>
        <w:t xml:space="preserve"> </w:t>
      </w:r>
    </w:p>
    <w:p w14:paraId="22DC56BE" w14:textId="32E178C2" w:rsidR="004C4FAD" w:rsidRDefault="00777318" w:rsidP="004563C6">
      <w:pPr>
        <w:pStyle w:val="ParaLevel1"/>
      </w:pPr>
      <w:bookmarkStart w:id="2" w:name="para6"/>
      <w:r>
        <w:t xml:space="preserve">The ETSI IPR Policy </w:t>
      </w:r>
      <w:r w:rsidR="00747E7D">
        <w:t xml:space="preserve">requires SEP owners and implementers to negotiate </w:t>
      </w:r>
      <w:r w:rsidR="00747E7D" w:rsidRPr="00747E7D">
        <w:t>FRAND</w:t>
      </w:r>
      <w:r w:rsidR="00747E7D">
        <w:t xml:space="preserve"> </w:t>
      </w:r>
      <w:r w:rsidR="0094100E">
        <w:t xml:space="preserve">terms </w:t>
      </w:r>
      <w:r w:rsidR="00747E7D">
        <w:t xml:space="preserve">in good faith. </w:t>
      </w:r>
      <w:r w:rsidR="004C4FAD">
        <w:t xml:space="preserve">The </w:t>
      </w:r>
      <w:r w:rsidR="002F39DB">
        <w:t xml:space="preserve">basis for, and </w:t>
      </w:r>
      <w:r w:rsidR="004C4FAD">
        <w:t>nature of</w:t>
      </w:r>
      <w:r w:rsidR="002F39DB">
        <w:t>,</w:t>
      </w:r>
      <w:r w:rsidR="004C4FAD">
        <w:t xml:space="preserve"> the good faith obligation was explained in</w:t>
      </w:r>
      <w:r w:rsidR="004265D0">
        <w:t xml:space="preserve"> </w:t>
      </w:r>
      <w:r w:rsidR="004265D0" w:rsidRPr="004265D0">
        <w:rPr>
          <w:i/>
          <w:iCs/>
        </w:rPr>
        <w:t>Panasonic v Xiaomi</w:t>
      </w:r>
      <w:r w:rsidR="004265D0">
        <w:t xml:space="preserve"> at [48] and</w:t>
      </w:r>
      <w:r w:rsidR="004C4FAD">
        <w:t xml:space="preserve"> </w:t>
      </w:r>
      <w:r w:rsidR="00B17A66" w:rsidRPr="00B17A66">
        <w:rPr>
          <w:i/>
          <w:iCs/>
        </w:rPr>
        <w:t>Lenovo v Ericsson</w:t>
      </w:r>
      <w:r w:rsidR="00B17A66">
        <w:t xml:space="preserve"> at [82</w:t>
      </w:r>
      <w:r w:rsidR="004265D0">
        <w:t>].</w:t>
      </w:r>
    </w:p>
    <w:p w14:paraId="7080A9DD" w14:textId="2E4A0658" w:rsidR="00185715" w:rsidRDefault="00FE7E6F" w:rsidP="004563C6">
      <w:pPr>
        <w:pStyle w:val="ParaLevel1"/>
      </w:pPr>
      <w:r>
        <w:t xml:space="preserve">The </w:t>
      </w:r>
      <w:r w:rsidR="00521BF1">
        <w:t xml:space="preserve">SEP owner’s </w:t>
      </w:r>
      <w:r w:rsidR="00F40B4D">
        <w:t>u</w:t>
      </w:r>
      <w:r w:rsidR="001B6B33">
        <w:t>ndertaking</w:t>
      </w:r>
      <w:r w:rsidR="00747E7D">
        <w:t xml:space="preserve"> </w:t>
      </w:r>
      <w:r w:rsidR="00F40B4D">
        <w:t xml:space="preserve">to </w:t>
      </w:r>
      <w:r w:rsidR="00F40B4D" w:rsidRPr="00F40B4D">
        <w:t>ETSI</w:t>
      </w:r>
      <w:r w:rsidR="00F40B4D">
        <w:t xml:space="preserve"> </w:t>
      </w:r>
      <w:r w:rsidR="00777318">
        <w:t>provides an implementer which is willing to take a licence</w:t>
      </w:r>
      <w:r w:rsidR="00FF3576">
        <w:t xml:space="preserve"> of SEPs</w:t>
      </w:r>
      <w:r w:rsidR="00777318">
        <w:t xml:space="preserve"> on FRAND </w:t>
      </w:r>
      <w:r w:rsidR="00FF3576">
        <w:t>term</w:t>
      </w:r>
      <w:r w:rsidR="009D1719">
        <w:t xml:space="preserve">s </w:t>
      </w:r>
      <w:r w:rsidR="00FF3576">
        <w:t>with a contractual defence to claims of patent infringement. An implementer which has undertaken to the Patents Court to take a lic</w:t>
      </w:r>
      <w:r w:rsidR="009D1719">
        <w:t xml:space="preserve">ence on the terms determined by the Patents Court to be </w:t>
      </w:r>
      <w:r w:rsidR="009D1719" w:rsidRPr="009D1719">
        <w:t>FRAND</w:t>
      </w:r>
      <w:r w:rsidR="00AC062E">
        <w:t xml:space="preserve"> (subject to </w:t>
      </w:r>
      <w:r w:rsidR="00AC062E">
        <w:lastRenderedPageBreak/>
        <w:t>adjustment on appeal)</w:t>
      </w:r>
      <w:r w:rsidR="009D1719">
        <w:t xml:space="preserve"> is </w:t>
      </w:r>
      <w:r w:rsidR="005A7AD9">
        <w:t xml:space="preserve">by definition </w:t>
      </w:r>
      <w:r w:rsidR="009D1719">
        <w:t>a willing licensee</w:t>
      </w:r>
      <w:r w:rsidR="003C4CB4">
        <w:t>.</w:t>
      </w:r>
      <w:r w:rsidR="00AE38FF">
        <w:t xml:space="preserve"> Such an implementer will be required to pay </w:t>
      </w:r>
      <w:r w:rsidR="0023666B">
        <w:t xml:space="preserve">royalties </w:t>
      </w:r>
      <w:r w:rsidR="00BE68D1">
        <w:t xml:space="preserve">at the rate determined by the Patents Court to be </w:t>
      </w:r>
      <w:r w:rsidR="00BE68D1" w:rsidRPr="00BE68D1">
        <w:t>FRAND</w:t>
      </w:r>
      <w:r w:rsidR="00BE68D1">
        <w:t xml:space="preserve"> from day one of implementation regardless of limitation period</w:t>
      </w:r>
      <w:r w:rsidR="0096647D">
        <w:t>s</w:t>
      </w:r>
      <w:r w:rsidR="00BE68D1">
        <w:t xml:space="preserve"> and to pay realistic </w:t>
      </w:r>
      <w:r w:rsidR="00162F65">
        <w:t xml:space="preserve">interest in respect of past royalties. </w:t>
      </w:r>
      <w:r w:rsidR="00131E85">
        <w:t>The</w:t>
      </w:r>
      <w:r w:rsidR="00162F65">
        <w:t xml:space="preserve"> implementer </w:t>
      </w:r>
      <w:r w:rsidR="005A7AD9">
        <w:t xml:space="preserve">therefore </w:t>
      </w:r>
      <w:r w:rsidR="00162F65">
        <w:t>c</w:t>
      </w:r>
      <w:r w:rsidR="00162F65" w:rsidRPr="00162F65">
        <w:t>annot be accused of holding out even if it had previously been holding out</w:t>
      </w:r>
      <w:r w:rsidR="00AC062E">
        <w:t>.</w:t>
      </w:r>
      <w:r w:rsidR="0023666B">
        <w:t xml:space="preserve">  </w:t>
      </w:r>
    </w:p>
    <w:p w14:paraId="284FB047" w14:textId="7A507BBE" w:rsidR="00372927" w:rsidRDefault="00162F65" w:rsidP="004563C6">
      <w:pPr>
        <w:pStyle w:val="ParaLevel1"/>
      </w:pPr>
      <w:r w:rsidRPr="00162F65">
        <w:t>Interim licence declarations are a limited remedy to the problem of hold up by SEP owners</w:t>
      </w:r>
      <w:r w:rsidR="00033EA8">
        <w:t xml:space="preserve"> after implementers have given such an undertaking</w:t>
      </w:r>
      <w:r w:rsidRPr="00162F65">
        <w:t xml:space="preserve">. </w:t>
      </w:r>
      <w:r w:rsidR="0011408E" w:rsidRPr="0011408E">
        <w:t xml:space="preserve">The </w:t>
      </w:r>
      <w:r w:rsidR="00F23EE2">
        <w:t xml:space="preserve">essential </w:t>
      </w:r>
      <w:r w:rsidR="0011408E" w:rsidRPr="0011408E">
        <w:t>basis for the declarations</w:t>
      </w:r>
      <w:r w:rsidR="007B18FB">
        <w:t xml:space="preserve"> which this Court made</w:t>
      </w:r>
      <w:r w:rsidR="0011408E" w:rsidRPr="0011408E">
        <w:t xml:space="preserve"> in </w:t>
      </w:r>
      <w:r w:rsidR="0011408E" w:rsidRPr="0011408E">
        <w:rPr>
          <w:i/>
          <w:iCs/>
        </w:rPr>
        <w:t xml:space="preserve">Panasonic v Xiaomi </w:t>
      </w:r>
      <w:r w:rsidR="0011408E" w:rsidRPr="0011408E">
        <w:t xml:space="preserve">and </w:t>
      </w:r>
      <w:r w:rsidR="0011408E" w:rsidRPr="0011408E">
        <w:rPr>
          <w:i/>
          <w:iCs/>
        </w:rPr>
        <w:t>Lenovo v Ericsson</w:t>
      </w:r>
      <w:r w:rsidR="0011408E" w:rsidRPr="0011408E">
        <w:t xml:space="preserve"> </w:t>
      </w:r>
      <w:r w:rsidR="00A55491">
        <w:t>(</w:t>
      </w:r>
      <w:r w:rsidR="00A55491" w:rsidRPr="007B18FB">
        <w:rPr>
          <w:i/>
          <w:iCs/>
        </w:rPr>
        <w:t>Alc</w:t>
      </w:r>
      <w:r w:rsidR="007B18FB" w:rsidRPr="007B18FB">
        <w:rPr>
          <w:i/>
          <w:iCs/>
        </w:rPr>
        <w:t>atel v Amazon</w:t>
      </w:r>
      <w:r w:rsidR="007B18FB">
        <w:t xml:space="preserve"> was only concerned with the </w:t>
      </w:r>
      <w:r w:rsidR="000178AC">
        <w:t>principle</w:t>
      </w:r>
      <w:r w:rsidR="007B18FB">
        <w:t xml:space="preserve">) </w:t>
      </w:r>
      <w:r w:rsidR="0011408E" w:rsidRPr="0011408E">
        <w:t xml:space="preserve">was that the SEP </w:t>
      </w:r>
      <w:r w:rsidR="00A55491">
        <w:t>owners</w:t>
      </w:r>
      <w:r w:rsidR="0011408E" w:rsidRPr="0011408E">
        <w:t xml:space="preserve"> were acting contrary to their obligation to </w:t>
      </w:r>
      <w:r w:rsidR="004F0D49">
        <w:t>n</w:t>
      </w:r>
      <w:r w:rsidR="0011408E" w:rsidRPr="0011408E">
        <w:t>egotiate FRAND terms in good faith: their purpose in pursuing injuncti</w:t>
      </w:r>
      <w:r w:rsidR="00D13B86">
        <w:t>ve (or equivalent) relief</w:t>
      </w:r>
      <w:r w:rsidR="0011408E" w:rsidRPr="0011408E">
        <w:t xml:space="preserve"> in other jurisdictions was to try to force the implementers to agree to take a licence on terms more favourable to the SEP </w:t>
      </w:r>
      <w:r w:rsidR="008C356E">
        <w:t>owner</w:t>
      </w:r>
      <w:r w:rsidR="0011408E" w:rsidRPr="0011408E">
        <w:t xml:space="preserve"> than the English courts would find to be FRAND. Further, any rational SEP </w:t>
      </w:r>
      <w:r w:rsidR="008C356E">
        <w:t>owner</w:t>
      </w:r>
      <w:r w:rsidR="0011408E" w:rsidRPr="0011408E">
        <w:t xml:space="preserve"> would want to be paid </w:t>
      </w:r>
      <w:r w:rsidR="00AA457C">
        <w:t xml:space="preserve">at least </w:t>
      </w:r>
      <w:r w:rsidR="002B38D4">
        <w:t>part of what they were due so</w:t>
      </w:r>
      <w:r w:rsidR="0011408E" w:rsidRPr="0011408E">
        <w:t xml:space="preserve">oner rather than later, and yet the SEP </w:t>
      </w:r>
      <w:r w:rsidR="008C356E">
        <w:t>owners</w:t>
      </w:r>
      <w:r w:rsidR="0011408E" w:rsidRPr="0011408E">
        <w:t xml:space="preserve"> were refusing this because of their desire to coerce the implementers.</w:t>
      </w:r>
    </w:p>
    <w:p w14:paraId="07073B98" w14:textId="0EE5A14E" w:rsidR="00372927" w:rsidRPr="00372927" w:rsidRDefault="00666C54" w:rsidP="004563C6">
      <w:pPr>
        <w:pStyle w:val="ParaLevel1"/>
      </w:pPr>
      <w:r>
        <w:t xml:space="preserve">The Court </w:t>
      </w:r>
      <w:r w:rsidR="003133CB">
        <w:t>considered</w:t>
      </w:r>
      <w:r>
        <w:t xml:space="preserve"> that the grant of the declaration would serve a useful purpose because it would </w:t>
      </w:r>
      <w:r w:rsidR="00643315">
        <w:t xml:space="preserve">be </w:t>
      </w:r>
      <w:r>
        <w:t>persuasive, albeit not coercive.</w:t>
      </w:r>
      <w:r w:rsidR="003133CB">
        <w:t xml:space="preserve"> It </w:t>
      </w:r>
      <w:r w:rsidR="00372927" w:rsidRPr="00372927">
        <w:t>would not be contrary to comity because, if it led to an interim licence being agreed, it would relieve the foreign courts of burdensome and wasteful litigation; and, if not, it would be up to the foreign courts to make their own assessments of the parties’ conduct.</w:t>
      </w:r>
      <w:r w:rsidR="00C16615">
        <w:t xml:space="preserve"> </w:t>
      </w:r>
      <w:r w:rsidR="007B7B9B">
        <w:t xml:space="preserve">As to </w:t>
      </w:r>
      <w:r w:rsidR="00372927" w:rsidRPr="00372927">
        <w:t xml:space="preserve">what terms for </w:t>
      </w:r>
      <w:r w:rsidR="00993DBE">
        <w:t>a</w:t>
      </w:r>
      <w:r w:rsidR="00372927" w:rsidRPr="00372927">
        <w:t>n interim licence would be FRAND</w:t>
      </w:r>
      <w:r w:rsidR="007B7B9B">
        <w:t>, i</w:t>
      </w:r>
      <w:r w:rsidR="00372927" w:rsidRPr="00372927">
        <w:t>n</w:t>
      </w:r>
      <w:r w:rsidR="00120486">
        <w:t xml:space="preserve"> both</w:t>
      </w:r>
      <w:r w:rsidR="00372927" w:rsidRPr="00372927">
        <w:t xml:space="preserve"> </w:t>
      </w:r>
      <w:r w:rsidR="00372927" w:rsidRPr="00372927">
        <w:rPr>
          <w:i/>
          <w:iCs/>
        </w:rPr>
        <w:t xml:space="preserve">Panasonic v Xiaomi </w:t>
      </w:r>
      <w:r w:rsidR="00372927" w:rsidRPr="00372927">
        <w:t>and</w:t>
      </w:r>
      <w:r w:rsidR="00372927" w:rsidRPr="00372927">
        <w:rPr>
          <w:i/>
          <w:iCs/>
        </w:rPr>
        <w:t xml:space="preserve"> Lenovo v Ericsson </w:t>
      </w:r>
      <w:r w:rsidR="00372927" w:rsidRPr="00372927">
        <w:t xml:space="preserve">the Court essentially took a midpoint between the parties’ most recent royalty rate offers and applied that rate to the anticipated period of the interim licence. </w:t>
      </w:r>
      <w:r w:rsidR="00BA46E7">
        <w:t xml:space="preserve">(This does not exclude </w:t>
      </w:r>
      <w:r w:rsidR="009F113E">
        <w:t xml:space="preserve">the possibility of </w:t>
      </w:r>
      <w:r w:rsidR="00BA46E7">
        <w:t>ano</w:t>
      </w:r>
      <w:r w:rsidR="00372927" w:rsidRPr="00372927">
        <w:t>ther solution</w:t>
      </w:r>
      <w:r w:rsidR="00BA46E7">
        <w:t xml:space="preserve"> in an appropriate case</w:t>
      </w:r>
      <w:r w:rsidR="00372927" w:rsidRPr="00372927">
        <w:t>.</w:t>
      </w:r>
      <w:r w:rsidR="00BA46E7">
        <w:t>)</w:t>
      </w:r>
      <w:r w:rsidR="00372927" w:rsidRPr="00372927">
        <w:rPr>
          <w:i/>
          <w:iCs/>
        </w:rPr>
        <w:t xml:space="preserve"> </w:t>
      </w:r>
      <w:r w:rsidR="00372927" w:rsidRPr="00372927">
        <w:t xml:space="preserve"> </w:t>
      </w:r>
    </w:p>
    <w:p w14:paraId="0567FB0B" w14:textId="103BADEB" w:rsidR="0011408E" w:rsidRPr="0011408E" w:rsidRDefault="00372927" w:rsidP="004563C6">
      <w:pPr>
        <w:pStyle w:val="ParaLevel1"/>
      </w:pPr>
      <w:r w:rsidRPr="00372927">
        <w:t xml:space="preserve">In </w:t>
      </w:r>
      <w:r w:rsidRPr="00372927">
        <w:rPr>
          <w:i/>
          <w:iCs/>
        </w:rPr>
        <w:t xml:space="preserve">Panasonic v Xiaomi </w:t>
      </w:r>
      <w:r w:rsidRPr="00372927">
        <w:t>the parties did subsequently agree to enter into an interim licence</w:t>
      </w:r>
      <w:r w:rsidR="00B34B37">
        <w:t xml:space="preserve"> on the terms specified by the Court</w:t>
      </w:r>
      <w:r w:rsidRPr="00372927">
        <w:t>.</w:t>
      </w:r>
      <w:r w:rsidR="00B34B37">
        <w:t xml:space="preserve"> In </w:t>
      </w:r>
      <w:r w:rsidR="00B34B37" w:rsidRPr="00120486">
        <w:rPr>
          <w:i/>
          <w:iCs/>
        </w:rPr>
        <w:t>Lenovo v Ericsson</w:t>
      </w:r>
      <w:r w:rsidR="00B34B37">
        <w:t xml:space="preserve"> they did not. </w:t>
      </w:r>
      <w:r w:rsidRPr="00372927">
        <w:t>All three cases were the subject of global settlements not long after th</w:t>
      </w:r>
      <w:r w:rsidR="00564D01">
        <w:t>is</w:t>
      </w:r>
      <w:r w:rsidRPr="00372927">
        <w:t xml:space="preserve"> Court’s decision</w:t>
      </w:r>
      <w:r w:rsidR="00564D01">
        <w:t>, which may or may not be coincidental.</w:t>
      </w:r>
      <w:r w:rsidR="008C356E">
        <w:t xml:space="preserve"> </w:t>
      </w:r>
      <w:r w:rsidR="0011408E" w:rsidRPr="0011408E">
        <w:t xml:space="preserve">         </w:t>
      </w:r>
    </w:p>
    <w:p w14:paraId="1AFD1043" w14:textId="0DBEAB9D" w:rsidR="00A30CA9" w:rsidRPr="00A30CA9" w:rsidRDefault="00A30CA9" w:rsidP="004563C6">
      <w:pPr>
        <w:pStyle w:val="ParaLevel1"/>
      </w:pPr>
      <w:r w:rsidRPr="00A30CA9">
        <w:t>Th</w:t>
      </w:r>
      <w:r w:rsidR="00564D01">
        <w:t>us th</w:t>
      </w:r>
      <w:r w:rsidRPr="00A30CA9">
        <w:t xml:space="preserve">e issues raised by </w:t>
      </w:r>
      <w:r w:rsidR="00110EB2">
        <w:t>an application for a declaration that a SEP owner would enter into a</w:t>
      </w:r>
      <w:r w:rsidR="00385A4D">
        <w:t>n interim licence are as follows</w:t>
      </w:r>
      <w:r w:rsidRPr="00A30CA9">
        <w:t>:</w:t>
      </w:r>
      <w:bookmarkEnd w:id="2"/>
    </w:p>
    <w:p w14:paraId="79659920" w14:textId="0259F901" w:rsidR="00A30CA9" w:rsidRPr="00A30CA9" w:rsidRDefault="00385A4D" w:rsidP="004563C6">
      <w:pPr>
        <w:pStyle w:val="ParaLevel2"/>
      </w:pPr>
      <w:r>
        <w:t xml:space="preserve">Is the SEP owner </w:t>
      </w:r>
      <w:r w:rsidR="00A30CA9" w:rsidRPr="00A30CA9">
        <w:t xml:space="preserve">in breach of </w:t>
      </w:r>
      <w:r>
        <w:t>its</w:t>
      </w:r>
      <w:r w:rsidR="00A30CA9" w:rsidRPr="00A30CA9">
        <w:t xml:space="preserve"> obligation to negotiate FRAND terms with </w:t>
      </w:r>
      <w:r w:rsidR="00A061D9">
        <w:t>the implementer</w:t>
      </w:r>
      <w:r w:rsidR="00A30CA9" w:rsidRPr="00A30CA9">
        <w:t xml:space="preserve"> in good faith?</w:t>
      </w:r>
    </w:p>
    <w:p w14:paraId="49B06912" w14:textId="49D7CCAF" w:rsidR="00A30CA9" w:rsidRPr="00A30CA9" w:rsidRDefault="00A30CA9" w:rsidP="004563C6">
      <w:pPr>
        <w:pStyle w:val="ParaLevel2"/>
      </w:pPr>
      <w:r w:rsidRPr="00A30CA9">
        <w:t>Would the grant of the declaration serve a useful purpose?</w:t>
      </w:r>
    </w:p>
    <w:p w14:paraId="0FBBA88A" w14:textId="29270CBC" w:rsidR="00A30CA9" w:rsidRPr="00A30CA9" w:rsidRDefault="00A30CA9" w:rsidP="004563C6">
      <w:pPr>
        <w:pStyle w:val="ParaLevel2"/>
      </w:pPr>
      <w:r w:rsidRPr="00A30CA9">
        <w:t xml:space="preserve">Would the grant of the declaration be contrary to comity with </w:t>
      </w:r>
      <w:r w:rsidR="00A061D9">
        <w:t>foreign</w:t>
      </w:r>
      <w:r w:rsidRPr="00A30CA9">
        <w:t xml:space="preserve"> courts</w:t>
      </w:r>
      <w:r w:rsidR="00A061D9">
        <w:t>?</w:t>
      </w:r>
    </w:p>
    <w:p w14:paraId="2D3D772C" w14:textId="7562F6FC" w:rsidR="00A30CA9" w:rsidRPr="00A30CA9" w:rsidRDefault="00A30CA9" w:rsidP="004563C6">
      <w:pPr>
        <w:pStyle w:val="ParaLevel2"/>
      </w:pPr>
      <w:r w:rsidRPr="00A30CA9">
        <w:t>What terms for an interim licence would be FRAND?</w:t>
      </w:r>
    </w:p>
    <w:p w14:paraId="089590A6" w14:textId="77777777" w:rsidR="00E41DF6" w:rsidRDefault="007F3C51" w:rsidP="004563C6">
      <w:pPr>
        <w:pStyle w:val="ParaLevel1"/>
      </w:pPr>
      <w:r>
        <w:t>The burden of proof lies on the implementer and the court must have a high degree of assurance before</w:t>
      </w:r>
      <w:r w:rsidR="00E61196">
        <w:t xml:space="preserve"> granting a declaration</w:t>
      </w:r>
      <w:r w:rsidR="00E41DF6">
        <w:t>.</w:t>
      </w:r>
    </w:p>
    <w:p w14:paraId="1B972BE0" w14:textId="1A62B89F" w:rsidR="00857910" w:rsidRDefault="00E41DF6" w:rsidP="004563C6">
      <w:pPr>
        <w:pStyle w:val="ParaLevel1"/>
      </w:pPr>
      <w:r>
        <w:t>I should record before proceeding</w:t>
      </w:r>
      <w:r w:rsidR="00FA7A9F">
        <w:t xml:space="preserve"> further that ZTE accept that</w:t>
      </w:r>
      <w:r w:rsidR="00B4737E">
        <w:t xml:space="preserve"> the trio of cases referred to in paragraph 1 </w:t>
      </w:r>
      <w:r w:rsidR="00E61E9F">
        <w:t xml:space="preserve">above </w:t>
      </w:r>
      <w:r w:rsidR="0073128D">
        <w:t>cons</w:t>
      </w:r>
      <w:r w:rsidR="00E65E93">
        <w:t>t</w:t>
      </w:r>
      <w:r w:rsidR="0073128D">
        <w:t>itut</w:t>
      </w:r>
      <w:r w:rsidR="00E61E9F">
        <w:t>e</w:t>
      </w:r>
      <w:r w:rsidR="0073128D">
        <w:t xml:space="preserve"> binding authority at this level that the</w:t>
      </w:r>
      <w:r w:rsidR="00E65E93">
        <w:t xml:space="preserve"> Patents Court </w:t>
      </w:r>
      <w:r w:rsidR="00E65E93">
        <w:lastRenderedPageBreak/>
        <w:t xml:space="preserve">has jurisdiction to make an interim licence declaration, but reserve the right to argue to the contrary </w:t>
      </w:r>
      <w:r w:rsidR="00310348">
        <w:t>in the Supreme Court.</w:t>
      </w:r>
    </w:p>
    <w:p w14:paraId="1C7E7EB2" w14:textId="6BDFA2DD" w:rsidR="007E7757" w:rsidRPr="007E7757" w:rsidRDefault="007E7757" w:rsidP="004563C6">
      <w:pPr>
        <w:pStyle w:val="ParaHeading"/>
        <w:rPr>
          <w:u w:val="single"/>
        </w:rPr>
      </w:pPr>
      <w:r w:rsidRPr="007E7757">
        <w:rPr>
          <w:u w:val="single"/>
        </w:rPr>
        <w:t>Jurisdictional conflict</w:t>
      </w:r>
    </w:p>
    <w:p w14:paraId="494ADCA0" w14:textId="77777777" w:rsidR="00BA2445" w:rsidRDefault="007E7757" w:rsidP="004563C6">
      <w:pPr>
        <w:pStyle w:val="ParaLevel1"/>
      </w:pPr>
      <w:r>
        <w:t xml:space="preserve">As I have observed in </w:t>
      </w:r>
      <w:r w:rsidR="004D0170">
        <w:t xml:space="preserve">many judgments concerning </w:t>
      </w:r>
      <w:r w:rsidR="004D0170" w:rsidRPr="004D0170">
        <w:t>FRAND</w:t>
      </w:r>
      <w:r w:rsidR="004D0170">
        <w:t xml:space="preserve"> issues, the ETSI IPR Policy</w:t>
      </w:r>
      <w:r w:rsidR="00E07C17">
        <w:t>,</w:t>
      </w:r>
      <w:r w:rsidR="007E12A5">
        <w:t xml:space="preserve"> while valuable in many ways, has a flaw in that it does not </w:t>
      </w:r>
      <w:r w:rsidR="004A7491">
        <w:t>provide for a global dispute resolution mechanism</w:t>
      </w:r>
      <w:r w:rsidR="00413D92">
        <w:t xml:space="preserve"> for determining </w:t>
      </w:r>
      <w:r w:rsidR="00413D92" w:rsidRPr="00413D92">
        <w:t>FRAND</w:t>
      </w:r>
      <w:r w:rsidR="00413D92">
        <w:t xml:space="preserve"> disputes. In the absence of such a </w:t>
      </w:r>
      <w:r w:rsidR="00E73EA7">
        <w:t xml:space="preserve">mechanism, or an </w:t>
      </w:r>
      <w:r w:rsidR="00E73EA7" w:rsidRPr="003A2FFA">
        <w:rPr>
          <w:i/>
          <w:iCs/>
        </w:rPr>
        <w:t>ad hoc</w:t>
      </w:r>
      <w:r w:rsidR="00E73EA7">
        <w:t xml:space="preserve"> agreement to arbitrate, the possibility of jurisdictional conflict is inescapable.</w:t>
      </w:r>
    </w:p>
    <w:p w14:paraId="15AA5835" w14:textId="32322A64" w:rsidR="00913DBE" w:rsidRDefault="00BA2445" w:rsidP="004563C6">
      <w:pPr>
        <w:pStyle w:val="ParaLevel1"/>
      </w:pPr>
      <w:r>
        <w:t>In this regard the parties and the judge referred to what I said</w:t>
      </w:r>
      <w:r w:rsidR="0052748B">
        <w:t xml:space="preserve"> in </w:t>
      </w:r>
      <w:r w:rsidR="0052748B" w:rsidRPr="00112855">
        <w:rPr>
          <w:i/>
          <w:iCs/>
        </w:rPr>
        <w:t>Nokia Technologies OY v OnePlus Technology (Shenzhen) Co Ltd</w:t>
      </w:r>
      <w:r w:rsidR="0052748B">
        <w:t xml:space="preserve"> [2022] EWCA Civ 947</w:t>
      </w:r>
      <w:r w:rsidR="00D52E96">
        <w:t>, [2023]</w:t>
      </w:r>
      <w:r w:rsidR="00476917">
        <w:t xml:space="preserve"> FSR 11</w:t>
      </w:r>
      <w:r w:rsidR="0005626B">
        <w:t xml:space="preserve"> (“</w:t>
      </w:r>
      <w:r w:rsidR="0005626B" w:rsidRPr="0005626B">
        <w:rPr>
          <w:i/>
          <w:iCs/>
        </w:rPr>
        <w:t>Nokia v OPPO</w:t>
      </w:r>
      <w:r w:rsidR="0005626B">
        <w:t>”)</w:t>
      </w:r>
      <w:r w:rsidR="00112855">
        <w:t>:</w:t>
      </w:r>
    </w:p>
    <w:p w14:paraId="083BC823" w14:textId="07852D29" w:rsidR="001012DA" w:rsidRPr="001012DA" w:rsidRDefault="00913DBE" w:rsidP="004563C6">
      <w:pPr>
        <w:pStyle w:val="Quote"/>
        <w:ind w:left="1474" w:hanging="737"/>
      </w:pPr>
      <w:r>
        <w:t>“</w:t>
      </w:r>
      <w:r w:rsidR="003474C6">
        <w:t>16.</w:t>
      </w:r>
      <w:r w:rsidR="003474C6">
        <w:tab/>
      </w:r>
      <w:r w:rsidR="001012DA" w:rsidRPr="001012DA">
        <w:t xml:space="preserve">But what is to happen if the courts of more than one country are seised with proceedings concerning the SEPs in question? If more than one country’s courts proceed to determine the terms of a global FRAND licence, there is an obvious risk of inconsistent decisions (not to mention a huge waste of legal costs). The only way to avoid the risk of inconsistent decisions is to ensure that only one court determines the terms of the global FRAND licence. As a matter of principle, one might expect this to be the court first seised of the dispute, with its determination being binding on the parties (by way of </w:t>
      </w:r>
      <w:r w:rsidR="001012DA" w:rsidRPr="001012DA">
        <w:rPr>
          <w:i/>
          <w:iCs/>
        </w:rPr>
        <w:t>res judicata</w:t>
      </w:r>
      <w:r w:rsidR="001012DA" w:rsidRPr="001012DA">
        <w:t>) in any other proceedings. This has three potential consequences. The first is a rush by each party to the court to establish jurisdiction in a forum which is perceived to be favourable to that party’s position. The second is an application by one party for an anti-suit injunction to restrain the other party from commencing or pursuing proceedings in a different jurisdiction to that considered favourable by the applicant party. The third is an application by the respondent party in the forum sought to be enjoined for an anti-anti-suit injunction restraining the first party from making or pursuing its application for the anti-suit injunction in the other forum. All of these consequences have manifested themselves in disputes between patentees and implementers in recent years.</w:t>
      </w:r>
    </w:p>
    <w:p w14:paraId="7801593A" w14:textId="31DE5A3C" w:rsidR="00913DBE" w:rsidRDefault="003474C6" w:rsidP="004563C6">
      <w:pPr>
        <w:pStyle w:val="Quote"/>
        <w:ind w:left="1474" w:hanging="737"/>
      </w:pPr>
      <w:r>
        <w:t>17.</w:t>
      </w:r>
      <w:r>
        <w:tab/>
      </w:r>
      <w:r w:rsidR="001012DA" w:rsidRPr="001012DA">
        <w:t>The only sure way to avoid these problems is to use a supranational dispute resolution procedure, and the only supranational procedure currently available is arbitration. If the parties do not agree to arbitration, however, the national courts must deal with the resulting jurisdictional disputes as best they can. Because there are no bespoke jurisdictional rules applicable to such disputes, still less any internationally agreed ones, national courts must apply their ordinary jurisdictional rules. In doing so national courts must have due regard to comity (that is, the need to respect the jurisdictions and judicial systems of other nations), but national courts cannot solve the problems inherent in the present system of resolving SEP/FRAND disputes.</w:t>
      </w:r>
      <w:r w:rsidR="00913DBE">
        <w:t>”</w:t>
      </w:r>
    </w:p>
    <w:p w14:paraId="3F9D5F12" w14:textId="321781E4" w:rsidR="00FE106F" w:rsidRDefault="00D54619" w:rsidP="004563C6">
      <w:pPr>
        <w:pStyle w:val="ParaLevel1"/>
      </w:pPr>
      <w:r>
        <w:lastRenderedPageBreak/>
        <w:t>I will return to these points below.</w:t>
      </w:r>
      <w:r w:rsidR="00E73EA7">
        <w:t xml:space="preserve"> </w:t>
      </w:r>
      <w:r w:rsidR="00E65E93">
        <w:t xml:space="preserve"> </w:t>
      </w:r>
      <w:r w:rsidR="0073128D">
        <w:t xml:space="preserve"> </w:t>
      </w:r>
      <w:r w:rsidR="003B09A3">
        <w:t xml:space="preserve"> </w:t>
      </w:r>
    </w:p>
    <w:p w14:paraId="33C9DA93" w14:textId="5423090D" w:rsidR="002C5315" w:rsidRPr="002C5315" w:rsidRDefault="002C5315" w:rsidP="004563C6">
      <w:pPr>
        <w:pStyle w:val="ParaHeading"/>
        <w:rPr>
          <w:u w:val="single"/>
        </w:rPr>
      </w:pPr>
      <w:r w:rsidRPr="002C5315">
        <w:rPr>
          <w:u w:val="single"/>
        </w:rPr>
        <w:t>Factual background</w:t>
      </w:r>
    </w:p>
    <w:p w14:paraId="185E8332" w14:textId="2A2A7586" w:rsidR="00492028" w:rsidRPr="00E90BD7" w:rsidRDefault="00492028" w:rsidP="004563C6">
      <w:pPr>
        <w:pStyle w:val="ParaHeading"/>
        <w:rPr>
          <w:i/>
          <w:iCs/>
        </w:rPr>
      </w:pPr>
      <w:bookmarkStart w:id="3" w:name="_Ref197417692"/>
      <w:bookmarkStart w:id="4" w:name="_Ref204272780"/>
      <w:r w:rsidRPr="00E90BD7">
        <w:rPr>
          <w:i/>
          <w:iCs/>
        </w:rPr>
        <w:t xml:space="preserve">The </w:t>
      </w:r>
      <w:r w:rsidR="00FF01FE">
        <w:rPr>
          <w:i/>
          <w:iCs/>
        </w:rPr>
        <w:t>parties and their SEP portfolios</w:t>
      </w:r>
    </w:p>
    <w:p w14:paraId="5F9B065F" w14:textId="7A6A44B0" w:rsidR="001D185F" w:rsidRDefault="00FF01FE" w:rsidP="004563C6">
      <w:pPr>
        <w:pStyle w:val="ParaLevel1"/>
      </w:pPr>
      <w:r>
        <w:t xml:space="preserve">Although </w:t>
      </w:r>
      <w:r w:rsidR="00EF1FAF">
        <w:t>both the Claimants and the Defendant</w:t>
      </w:r>
      <w:r w:rsidR="00E35329">
        <w:t>s</w:t>
      </w:r>
      <w:r w:rsidR="00EF1FAF">
        <w:t xml:space="preserve"> include companies incorporated in England and Wales, the parent companies are incorporated </w:t>
      </w:r>
      <w:r w:rsidR="00AC43F4">
        <w:t>in South Korea (</w:t>
      </w:r>
      <w:r w:rsidR="00AC43F4" w:rsidRPr="00AC43F4">
        <w:t>Samsung</w:t>
      </w:r>
      <w:r w:rsidR="00AC43F4">
        <w:t>) and the People’s Republic of China (</w:t>
      </w:r>
      <w:r w:rsidR="00AC43F4" w:rsidRPr="00AC43F4">
        <w:t>ZTE</w:t>
      </w:r>
      <w:r w:rsidR="00AC43F4">
        <w:t xml:space="preserve">). </w:t>
      </w:r>
      <w:r w:rsidRPr="00FF01FE">
        <w:t xml:space="preserve">Both Samsung and ZTE own </w:t>
      </w:r>
      <w:r w:rsidR="00E91951">
        <w:t xml:space="preserve">substantial </w:t>
      </w:r>
      <w:r w:rsidRPr="00FF01FE">
        <w:t>portfolios of SEPs declared essential to one or more of the 2G, 3G, 4G and 5G standards for wireless communications.</w:t>
      </w:r>
    </w:p>
    <w:p w14:paraId="3205796B" w14:textId="77777777" w:rsidR="00FF01FE" w:rsidRPr="00FF01FE" w:rsidRDefault="00FF01FE" w:rsidP="004563C6">
      <w:pPr>
        <w:pStyle w:val="ParaLevel1"/>
        <w:numPr>
          <w:ilvl w:val="0"/>
          <w:numId w:val="0"/>
        </w:numPr>
        <w:rPr>
          <w:i/>
          <w:iCs/>
        </w:rPr>
      </w:pPr>
      <w:r w:rsidRPr="00FF01FE">
        <w:rPr>
          <w:i/>
          <w:iCs/>
        </w:rPr>
        <w:t>The 2021 Agreement</w:t>
      </w:r>
    </w:p>
    <w:p w14:paraId="4C515D2A" w14:textId="50E0D142" w:rsidR="00CF7C2C" w:rsidRPr="00CF7C2C" w:rsidRDefault="00EB247E" w:rsidP="004563C6">
      <w:pPr>
        <w:pStyle w:val="ParaLevel1"/>
      </w:pPr>
      <w:r>
        <w:t xml:space="preserve">In </w:t>
      </w:r>
      <w:r w:rsidR="00424E61">
        <w:t xml:space="preserve">July </w:t>
      </w:r>
      <w:r>
        <w:t xml:space="preserve">2021 Samsung and ZTE entered into a global patent </w:t>
      </w:r>
      <w:r w:rsidRPr="00424E61">
        <w:rPr>
          <w:color w:val="000000"/>
        </w:rPr>
        <w:t>cross-</w:t>
      </w:r>
      <w:r>
        <w:t xml:space="preserve">licence covering </w:t>
      </w:r>
      <w:r w:rsidRPr="00863EF9">
        <w:t xml:space="preserve">their respective portfolios of SEPs for the 4G </w:t>
      </w:r>
      <w:r w:rsidR="00514917">
        <w:t xml:space="preserve">and earlier </w:t>
      </w:r>
      <w:r w:rsidRPr="00863EF9">
        <w:t>standard</w:t>
      </w:r>
      <w:r w:rsidR="00514917">
        <w:t>s</w:t>
      </w:r>
      <w:r>
        <w:t xml:space="preserve"> (</w:t>
      </w:r>
      <w:r w:rsidR="00863EF9">
        <w:t>“</w:t>
      </w:r>
      <w:r>
        <w:t xml:space="preserve">the </w:t>
      </w:r>
      <w:r w:rsidRPr="00863EF9">
        <w:t>2021 Agreement”</w:t>
      </w:r>
      <w:r>
        <w:t xml:space="preserve">). The licence expired on </w:t>
      </w:r>
      <w:r w:rsidRPr="00514917">
        <w:t>31 December 2023, but the 2021 Agreement included a defined covenant not to sue until 31 December 2024</w:t>
      </w:r>
      <w:bookmarkEnd w:id="3"/>
      <w:r w:rsidRPr="00424E61">
        <w:rPr>
          <w:color w:val="000000"/>
        </w:rPr>
        <w:t>.</w:t>
      </w:r>
    </w:p>
    <w:p w14:paraId="6E42AAD6" w14:textId="486F611C" w:rsidR="00E90BD7" w:rsidRPr="00E90BD7" w:rsidRDefault="00E90BD7" w:rsidP="004563C6">
      <w:pPr>
        <w:pStyle w:val="ParaHeading"/>
        <w:rPr>
          <w:i/>
          <w:iCs/>
        </w:rPr>
      </w:pPr>
      <w:r w:rsidRPr="00E90BD7">
        <w:rPr>
          <w:i/>
          <w:iCs/>
        </w:rPr>
        <w:t>Negotiations for a further cross-licence</w:t>
      </w:r>
    </w:p>
    <w:p w14:paraId="42057BC0" w14:textId="662CE97D" w:rsidR="00EB247E" w:rsidRPr="00EB247E" w:rsidRDefault="00CF7C2C" w:rsidP="004563C6">
      <w:pPr>
        <w:pStyle w:val="ParaLevel1"/>
      </w:pPr>
      <w:r>
        <w:rPr>
          <w:color w:val="000000"/>
        </w:rPr>
        <w:t xml:space="preserve">In </w:t>
      </w:r>
      <w:r w:rsidR="00EB247E" w:rsidRPr="00424E61">
        <w:rPr>
          <w:color w:val="000000"/>
        </w:rPr>
        <w:t>mid</w:t>
      </w:r>
      <w:r w:rsidR="0044594D">
        <w:rPr>
          <w:color w:val="000000"/>
        </w:rPr>
        <w:t>-</w:t>
      </w:r>
      <w:r w:rsidR="00EB247E" w:rsidRPr="00424E61">
        <w:rPr>
          <w:color w:val="000000"/>
        </w:rPr>
        <w:t xml:space="preserve">2023 </w:t>
      </w:r>
      <w:r w:rsidR="00EB247E">
        <w:t>t</w:t>
      </w:r>
      <w:r w:rsidR="00EB247E" w:rsidRPr="00424E61">
        <w:rPr>
          <w:color w:val="000000"/>
        </w:rPr>
        <w:t>he parties</w:t>
      </w:r>
      <w:r>
        <w:rPr>
          <w:color w:val="000000"/>
        </w:rPr>
        <w:t xml:space="preserve"> started</w:t>
      </w:r>
      <w:r w:rsidR="00EB247E" w:rsidRPr="00424E61">
        <w:rPr>
          <w:color w:val="000000"/>
        </w:rPr>
        <w:t xml:space="preserve"> negotiating the terms of a further cross-licence </w:t>
      </w:r>
      <w:r w:rsidR="0044594D">
        <w:rPr>
          <w:color w:val="000000"/>
        </w:rPr>
        <w:t xml:space="preserve">which would </w:t>
      </w:r>
      <w:r w:rsidR="009027D3">
        <w:rPr>
          <w:color w:val="000000"/>
        </w:rPr>
        <w:t>not only continue the previous cross-licence</w:t>
      </w:r>
      <w:r w:rsidR="001D7113">
        <w:rPr>
          <w:color w:val="000000"/>
        </w:rPr>
        <w:t>,</w:t>
      </w:r>
      <w:r w:rsidR="009027D3">
        <w:rPr>
          <w:color w:val="000000"/>
        </w:rPr>
        <w:t xml:space="preserve"> but also </w:t>
      </w:r>
      <w:r w:rsidR="00EB247E" w:rsidRPr="00E21403">
        <w:t>extend</w:t>
      </w:r>
      <w:r w:rsidR="009027D3">
        <w:t xml:space="preserve"> it</w:t>
      </w:r>
      <w:r w:rsidR="00EB247E" w:rsidRPr="00E21403">
        <w:t xml:space="preserve"> to their respective portfolios of 5G SEPs</w:t>
      </w:r>
      <w:r w:rsidR="00EB247E">
        <w:t>. T</w:t>
      </w:r>
      <w:r w:rsidR="00E21403">
        <w:t>o date t</w:t>
      </w:r>
      <w:r w:rsidR="00EB247E">
        <w:t>he parties have</w:t>
      </w:r>
      <w:r w:rsidR="00CD7C54">
        <w:t xml:space="preserve"> </w:t>
      </w:r>
      <w:r w:rsidR="00EB247E">
        <w:t xml:space="preserve">been unable to agree the terms of the further </w:t>
      </w:r>
      <w:r w:rsidR="00EB247E" w:rsidRPr="00424E61">
        <w:rPr>
          <w:color w:val="000000"/>
        </w:rPr>
        <w:t>cross-</w:t>
      </w:r>
      <w:r w:rsidR="00EB247E">
        <w:t xml:space="preserve">licence, </w:t>
      </w:r>
      <w:r w:rsidR="00C670B2">
        <w:t>but</w:t>
      </w:r>
      <w:r w:rsidR="00EB247E" w:rsidRPr="00424E61">
        <w:rPr>
          <w:color w:val="000000"/>
        </w:rPr>
        <w:t xml:space="preserve"> it is agreed that Samsung will be the net payer under </w:t>
      </w:r>
      <w:r w:rsidR="00CD7C54">
        <w:rPr>
          <w:color w:val="000000"/>
        </w:rPr>
        <w:t>the cross-</w:t>
      </w:r>
      <w:r w:rsidR="00EB247E" w:rsidRPr="00424E61">
        <w:rPr>
          <w:color w:val="000000"/>
        </w:rPr>
        <w:t>licence</w:t>
      </w:r>
      <w:r w:rsidR="00EB247E">
        <w:t>.</w:t>
      </w:r>
      <w:bookmarkEnd w:id="4"/>
      <w:r w:rsidR="00CD7C54">
        <w:t xml:space="preserve"> </w:t>
      </w:r>
      <w:r w:rsidR="00C670B2">
        <w:t>T</w:t>
      </w:r>
      <w:r w:rsidR="00CD7C54">
        <w:t>hus Samsung effectively stands in the position of an implementer so far as th</w:t>
      </w:r>
      <w:r w:rsidR="00694941">
        <w:t>is</w:t>
      </w:r>
      <w:r w:rsidR="00CD7C54">
        <w:t xml:space="preserve"> appeal is concerned</w:t>
      </w:r>
      <w:r w:rsidR="00694941">
        <w:t>.</w:t>
      </w:r>
      <w:r w:rsidR="00EB247E">
        <w:t xml:space="preserve"> </w:t>
      </w:r>
      <w:r w:rsidR="003B1BD0">
        <w:t xml:space="preserve">For that reason I shall refer in the remainder of this judgment to </w:t>
      </w:r>
      <w:r w:rsidR="00486A7B">
        <w:t xml:space="preserve">an interim licence </w:t>
      </w:r>
      <w:r w:rsidR="00723A95">
        <w:t xml:space="preserve">in favour of </w:t>
      </w:r>
      <w:r w:rsidR="00723A95" w:rsidRPr="00723A95">
        <w:t>Samsung</w:t>
      </w:r>
      <w:r w:rsidR="00723A95">
        <w:t xml:space="preserve"> </w:t>
      </w:r>
      <w:r w:rsidR="00486A7B">
        <w:t>rather than an interim cross-licence</w:t>
      </w:r>
      <w:r w:rsidR="00723A95">
        <w:t>.</w:t>
      </w:r>
      <w:r w:rsidR="003B1BD0">
        <w:t xml:space="preserve">  </w:t>
      </w:r>
    </w:p>
    <w:p w14:paraId="70984F73" w14:textId="561EF0AF" w:rsidR="00E90BD7" w:rsidRPr="00E90BD7" w:rsidRDefault="00504DDF" w:rsidP="004563C6">
      <w:pPr>
        <w:pStyle w:val="ParaHeading"/>
        <w:rPr>
          <w:i/>
          <w:iCs/>
        </w:rPr>
      </w:pPr>
      <w:r>
        <w:rPr>
          <w:i/>
          <w:iCs/>
        </w:rPr>
        <w:t>The English</w:t>
      </w:r>
      <w:r w:rsidR="00E90BD7" w:rsidRPr="00E90BD7">
        <w:rPr>
          <w:i/>
          <w:iCs/>
        </w:rPr>
        <w:t xml:space="preserve"> proceedings</w:t>
      </w:r>
    </w:p>
    <w:p w14:paraId="67695E19" w14:textId="7B7DC705" w:rsidR="00EB247E" w:rsidRDefault="00EB247E" w:rsidP="004563C6">
      <w:pPr>
        <w:pStyle w:val="ParaLevel1"/>
      </w:pPr>
      <w:r>
        <w:t xml:space="preserve">On 19 December 2024 – </w:t>
      </w:r>
      <w:r w:rsidRPr="00C670B2">
        <w:t xml:space="preserve">one day after a meeting </w:t>
      </w:r>
      <w:r w:rsidR="00694941">
        <w:t xml:space="preserve">between the parties </w:t>
      </w:r>
      <w:r>
        <w:t>and without any prior warning to ZTE – Samsung issued the</w:t>
      </w:r>
      <w:r w:rsidR="00DD410B">
        <w:t xml:space="preserve"> claim form in the</w:t>
      </w:r>
      <w:r>
        <w:t>se proceedings</w:t>
      </w:r>
      <w:r w:rsidR="00900185">
        <w:t>.</w:t>
      </w:r>
      <w:r>
        <w:t xml:space="preserve"> </w:t>
      </w:r>
      <w:r w:rsidR="00900185">
        <w:t xml:space="preserve">In these </w:t>
      </w:r>
      <w:r w:rsidR="00641745">
        <w:t xml:space="preserve">proceedings </w:t>
      </w:r>
      <w:r w:rsidR="00900185" w:rsidRPr="00900185">
        <w:t>Samsung</w:t>
      </w:r>
      <w:r>
        <w:t>:</w:t>
      </w:r>
    </w:p>
    <w:p w14:paraId="504BCDC2" w14:textId="57460E7B" w:rsidR="00EB247E" w:rsidRDefault="00EB247E" w:rsidP="004563C6">
      <w:pPr>
        <w:pStyle w:val="ParaLevel2"/>
      </w:pPr>
      <w:r>
        <w:t>allege that ZTE has infringed a number of Samsung UK SEPs (</w:t>
      </w:r>
      <w:r w:rsidR="00641745">
        <w:t>“</w:t>
      </w:r>
      <w:r>
        <w:t xml:space="preserve">the </w:t>
      </w:r>
      <w:r w:rsidRPr="00900185">
        <w:t>Asserted Patents</w:t>
      </w:r>
      <w:r>
        <w:t>”) and seek a FRAND injunction in respect of those patents;</w:t>
      </w:r>
    </w:p>
    <w:p w14:paraId="07215BCE" w14:textId="2ECBCA30" w:rsidR="00EB247E" w:rsidRDefault="00EB247E" w:rsidP="004563C6">
      <w:pPr>
        <w:pStyle w:val="ParaLevel2"/>
      </w:pPr>
      <w:r>
        <w:t>seek declarations of invalidity and non-essentiality in respect of certain UK SEPs owned by ZTE (</w:t>
      </w:r>
      <w:r w:rsidR="00641745">
        <w:t>“</w:t>
      </w:r>
      <w:r>
        <w:t xml:space="preserve">the </w:t>
      </w:r>
      <w:r w:rsidRPr="00641745">
        <w:t>Challenged Patents”</w:t>
      </w:r>
      <w:r>
        <w:t>)</w:t>
      </w:r>
      <w:r w:rsidR="007A66D3">
        <w:t>,</w:t>
      </w:r>
      <w:r>
        <w:t xml:space="preserve"> and in the alternative ask the Court to determine the terms of a FRAND licence covering the Challenged Patents;</w:t>
      </w:r>
    </w:p>
    <w:p w14:paraId="25CB9686" w14:textId="55E15421" w:rsidR="00EB247E" w:rsidRDefault="00EB247E" w:rsidP="004563C6">
      <w:pPr>
        <w:pStyle w:val="ParaLevel2"/>
      </w:pPr>
      <w:r>
        <w:t>claim that the FRAND licence covering the Asserted Patents and/or the Challenged Patent</w:t>
      </w:r>
      <w:r w:rsidR="00B67182">
        <w:t>s</w:t>
      </w:r>
      <w:r>
        <w:t xml:space="preserve"> is a single global cross-licence covering Samsung’s and ZTE’s respective portfolios of </w:t>
      </w:r>
      <w:r w:rsidRPr="008A6D58">
        <w:t>“Cellular SEPs”</w:t>
      </w:r>
      <w:r>
        <w:t>; and</w:t>
      </w:r>
    </w:p>
    <w:p w14:paraId="0E5A5E5C" w14:textId="677BDE1C" w:rsidR="00EB247E" w:rsidRDefault="00EB247E" w:rsidP="004563C6">
      <w:pPr>
        <w:pStyle w:val="ParaLevel2"/>
      </w:pPr>
      <w:r>
        <w:t>undertake to enter into the FRAND licence covering the Asserted Patents and/or the Challenged Patents on the terms that are determined by the English Court to be FRAND (</w:t>
      </w:r>
      <w:r w:rsidR="00B90EDD">
        <w:t>“</w:t>
      </w:r>
      <w:r>
        <w:t xml:space="preserve">the </w:t>
      </w:r>
      <w:r w:rsidRPr="007A66D3">
        <w:t>English Court-Determined Licence”</w:t>
      </w:r>
      <w:r>
        <w:t xml:space="preserve"> or </w:t>
      </w:r>
      <w:r w:rsidRPr="007A66D3">
        <w:t>“CDL”</w:t>
      </w:r>
      <w:r>
        <w:t>) following the exhaustion of appeals.</w:t>
      </w:r>
    </w:p>
    <w:p w14:paraId="3BE2B46E" w14:textId="08D86029" w:rsidR="00EB247E" w:rsidRPr="00571CA9" w:rsidRDefault="00EB247E" w:rsidP="004563C6">
      <w:pPr>
        <w:pStyle w:val="ParaLevel1"/>
      </w:pPr>
      <w:bookmarkStart w:id="5" w:name="_Ref204272782"/>
      <w:r>
        <w:lastRenderedPageBreak/>
        <w:t xml:space="preserve">The Particulars of Claim initially defined </w:t>
      </w:r>
      <w:r w:rsidRPr="00504DDF">
        <w:t>“Cellular SEPs”</w:t>
      </w:r>
      <w:r>
        <w:t xml:space="preserve"> as patents that have been declared essential</w:t>
      </w:r>
      <w:r w:rsidR="001152CE">
        <w:t xml:space="preserve"> only</w:t>
      </w:r>
      <w:r>
        <w:t xml:space="preserve"> to 5G</w:t>
      </w:r>
      <w:r w:rsidR="00571CA9">
        <w:t>. T</w:t>
      </w:r>
      <w:r>
        <w:t>he Asserted Patents and Challenged Patents were also initially limited to 5G</w:t>
      </w:r>
      <w:r w:rsidR="00571CA9">
        <w:t>-</w:t>
      </w:r>
      <w:r>
        <w:t xml:space="preserve">only SEPs. The </w:t>
      </w:r>
      <w:r w:rsidR="00571CA9" w:rsidRPr="00571CA9">
        <w:t>Particulars of Claim</w:t>
      </w:r>
      <w:r>
        <w:t xml:space="preserve"> were amended on 21 March 2025, </w:t>
      </w:r>
      <w:r>
        <w:rPr>
          <w:i/>
          <w:iCs/>
        </w:rPr>
        <w:t>inter alia</w:t>
      </w:r>
      <w:r>
        <w:t xml:space="preserve">, to extend the definition of Cellular SEPs to patents declared essential to the 2G-5G standards and to include 4G SEPs amongst the Asserted and Challenged Patents. ZTE </w:t>
      </w:r>
      <w:r w:rsidR="00125094">
        <w:t>argue</w:t>
      </w:r>
      <w:r>
        <w:t xml:space="preserve"> that the original, more limited, definition was adopted tactically with a view </w:t>
      </w:r>
      <w:r w:rsidRPr="00571CA9">
        <w:t>to avoiding a breach of the covenant not to sue in the 2021 Agreement</w:t>
      </w:r>
      <w:r w:rsidR="007242C6">
        <w:t>,</w:t>
      </w:r>
      <w:r w:rsidRPr="00571CA9">
        <w:t xml:space="preserve"> which</w:t>
      </w:r>
      <w:r w:rsidR="00F2740D">
        <w:t xml:space="preserve"> </w:t>
      </w:r>
      <w:r w:rsidRPr="00571CA9">
        <w:t>applied to 4G and earlier SEPs, but not 5G SEPs.</w:t>
      </w:r>
      <w:bookmarkEnd w:id="5"/>
      <w:r w:rsidR="00504DDF">
        <w:t xml:space="preserve"> </w:t>
      </w:r>
      <w:r w:rsidR="0083383B">
        <w:t>Samsung riposte that</w:t>
      </w:r>
      <w:r w:rsidR="007242C6">
        <w:t>, because</w:t>
      </w:r>
      <w:r w:rsidR="0083383B">
        <w:t xml:space="preserve"> </w:t>
      </w:r>
      <w:r w:rsidR="00F2740D">
        <w:t>the covenant not to sue did not</w:t>
      </w:r>
      <w:r w:rsidR="007242C6">
        <w:t xml:space="preserve"> prevent Samsung from </w:t>
      </w:r>
      <w:r w:rsidR="0058587B">
        <w:t>enforcing 5G SEPs</w:t>
      </w:r>
      <w:r w:rsidR="007B7953">
        <w:t>,</w:t>
      </w:r>
      <w:r w:rsidR="00E57A66">
        <w:t xml:space="preserve"> Samsung were entitled to bring </w:t>
      </w:r>
      <w:r w:rsidR="00BE7AD8">
        <w:t>the proceedings when they did</w:t>
      </w:r>
      <w:r w:rsidR="00A440C2">
        <w:t>. I</w:t>
      </w:r>
      <w:r w:rsidR="00BE7AD8">
        <w:t>t was</w:t>
      </w:r>
      <w:r w:rsidR="00A440C2">
        <w:t xml:space="preserve"> nevertheless</w:t>
      </w:r>
      <w:r w:rsidR="00BE7AD8">
        <w:t xml:space="preserve"> inevitable that any </w:t>
      </w:r>
      <w:r w:rsidR="007B7953">
        <w:t>cross-</w:t>
      </w:r>
      <w:r w:rsidR="00BE7AD8">
        <w:t>licence would embrace 2</w:t>
      </w:r>
      <w:r w:rsidR="007B7953">
        <w:t xml:space="preserve">G-4G SEPs as well as 5G SEPs, and thus the </w:t>
      </w:r>
      <w:r w:rsidR="002341E2">
        <w:t xml:space="preserve">amendment </w:t>
      </w:r>
      <w:r w:rsidR="00A440C2">
        <w:t>in March 2025 simply formalised th</w:t>
      </w:r>
      <w:r w:rsidR="003B104E">
        <w:t>at reality.</w:t>
      </w:r>
      <w:r w:rsidR="00A440C2">
        <w:t xml:space="preserve"> </w:t>
      </w:r>
      <w:r w:rsidR="007B7953">
        <w:t xml:space="preserve"> </w:t>
      </w:r>
      <w:r w:rsidR="0058587B">
        <w:t xml:space="preserve"> </w:t>
      </w:r>
      <w:r w:rsidR="00F2740D">
        <w:t xml:space="preserve"> </w:t>
      </w:r>
    </w:p>
    <w:p w14:paraId="2031698B" w14:textId="3A91B63C" w:rsidR="00EB247E" w:rsidRDefault="00EB247E" w:rsidP="004563C6">
      <w:pPr>
        <w:pStyle w:val="ParaLevel1"/>
      </w:pPr>
      <w:r>
        <w:t>ZTE ha</w:t>
      </w:r>
      <w:r w:rsidR="003B6BBD">
        <w:t>ve</w:t>
      </w:r>
      <w:r>
        <w:t xml:space="preserve"> not challenged </w:t>
      </w:r>
      <w:r w:rsidR="000A596D">
        <w:t xml:space="preserve">the English courts’ </w:t>
      </w:r>
      <w:r>
        <w:t>jurisdiction in these proceedings, but neither ha</w:t>
      </w:r>
      <w:r w:rsidR="003B6BBD">
        <w:t>ve they</w:t>
      </w:r>
      <w:r>
        <w:t xml:space="preserve"> given any undertaking to enter into the </w:t>
      </w:r>
      <w:r w:rsidR="000A596D">
        <w:t>CDL</w:t>
      </w:r>
      <w:r w:rsidR="003B6BBD">
        <w:t>.</w:t>
      </w:r>
      <w:r>
        <w:t xml:space="preserve"> </w:t>
      </w:r>
      <w:r w:rsidR="003B6BBD" w:rsidRPr="003B6BBD">
        <w:t>ZTE</w:t>
      </w:r>
      <w:r>
        <w:t xml:space="preserve"> ha</w:t>
      </w:r>
      <w:r w:rsidR="00072769">
        <w:t>ve</w:t>
      </w:r>
      <w:r>
        <w:t xml:space="preserve"> not counterclaimed for infringement of the Challenged Patents or otherwise sought a FRAND injunction against Samsung in </w:t>
      </w:r>
      <w:r w:rsidR="00AB0FB2">
        <w:t>this jurisdiction</w:t>
      </w:r>
      <w:r>
        <w:t>.</w:t>
      </w:r>
    </w:p>
    <w:p w14:paraId="681F579C" w14:textId="724599D4" w:rsidR="006473E8" w:rsidRDefault="006473E8" w:rsidP="004563C6">
      <w:pPr>
        <w:pStyle w:val="ParaLevel1"/>
      </w:pPr>
      <w:r>
        <w:t xml:space="preserve">On </w:t>
      </w:r>
      <w:r w:rsidR="007553BA">
        <w:t xml:space="preserve">13 </w:t>
      </w:r>
      <w:r>
        <w:t xml:space="preserve">March 2025 </w:t>
      </w:r>
      <w:r w:rsidR="00FE244C" w:rsidRPr="00FE244C">
        <w:t xml:space="preserve">the judge </w:t>
      </w:r>
      <w:r w:rsidR="00FE244C">
        <w:t xml:space="preserve">directed an expedited FRAND trial to be heard </w:t>
      </w:r>
      <w:r w:rsidR="00D81EE7">
        <w:t xml:space="preserve">starting </w:t>
      </w:r>
      <w:r w:rsidR="00C80503">
        <w:t>o</w:t>
      </w:r>
      <w:r w:rsidR="00FE244C">
        <w:t xml:space="preserve">n </w:t>
      </w:r>
      <w:r w:rsidR="00C80503">
        <w:t xml:space="preserve">12 </w:t>
      </w:r>
      <w:r w:rsidR="00FE244C">
        <w:t xml:space="preserve">January 2026. </w:t>
      </w:r>
      <w:r>
        <w:t xml:space="preserve">Two technical trials in the English proceedings – which could result in a UK FRAND injunction against ZTE (but not Samsung) – are </w:t>
      </w:r>
      <w:r w:rsidR="006B02CE">
        <w:t xml:space="preserve">listed </w:t>
      </w:r>
      <w:r>
        <w:t>to be he</w:t>
      </w:r>
      <w:r w:rsidR="00526591">
        <w:t>ard starting</w:t>
      </w:r>
      <w:r>
        <w:t xml:space="preserve"> </w:t>
      </w:r>
      <w:r w:rsidR="00526591">
        <w:t>o</w:t>
      </w:r>
      <w:r>
        <w:t xml:space="preserve">n </w:t>
      </w:r>
      <w:r w:rsidR="00D81EE7">
        <w:t xml:space="preserve">2 </w:t>
      </w:r>
      <w:r>
        <w:t xml:space="preserve">March and </w:t>
      </w:r>
      <w:r w:rsidR="00D81EE7">
        <w:t xml:space="preserve">5 </w:t>
      </w:r>
      <w:r>
        <w:t xml:space="preserve">May 2026. </w:t>
      </w:r>
    </w:p>
    <w:p w14:paraId="698DAE1E" w14:textId="1192DCA0" w:rsidR="00072769" w:rsidRPr="00072769" w:rsidRDefault="00EB247E" w:rsidP="004563C6">
      <w:pPr>
        <w:pStyle w:val="ParaLevel1"/>
        <w:numPr>
          <w:ilvl w:val="0"/>
          <w:numId w:val="0"/>
        </w:numPr>
        <w:rPr>
          <w:i/>
          <w:iCs/>
        </w:rPr>
      </w:pPr>
      <w:r w:rsidRPr="00072769">
        <w:rPr>
          <w:i/>
          <w:iCs/>
        </w:rPr>
        <w:t xml:space="preserve">The Chongqing </w:t>
      </w:r>
      <w:r w:rsidR="00072769">
        <w:rPr>
          <w:i/>
          <w:iCs/>
        </w:rPr>
        <w:t>p</w:t>
      </w:r>
      <w:r w:rsidRPr="00072769">
        <w:rPr>
          <w:i/>
          <w:iCs/>
        </w:rPr>
        <w:t xml:space="preserve">roceedings </w:t>
      </w:r>
    </w:p>
    <w:p w14:paraId="0224905A" w14:textId="2366B0CE" w:rsidR="00694D64" w:rsidRDefault="00072769" w:rsidP="004563C6">
      <w:pPr>
        <w:pStyle w:val="ParaLevel1"/>
      </w:pPr>
      <w:r>
        <w:t>On</w:t>
      </w:r>
      <w:r w:rsidR="00EB247E">
        <w:t xml:space="preserve"> 23 December 2024, two working days after the English proceedings were </w:t>
      </w:r>
      <w:r>
        <w:t>commenced</w:t>
      </w:r>
      <w:r w:rsidR="00EB247E">
        <w:t>,</w:t>
      </w:r>
      <w:r>
        <w:t xml:space="preserve"> </w:t>
      </w:r>
      <w:r w:rsidRPr="00072769">
        <w:t>ZTE</w:t>
      </w:r>
      <w:r>
        <w:t xml:space="preserve"> commenced proceedings</w:t>
      </w:r>
      <w:r w:rsidR="00EB247E">
        <w:t xml:space="preserve"> in the Chongqing Court. </w:t>
      </w:r>
      <w:r w:rsidR="00AB0FB2">
        <w:t xml:space="preserve">In the </w:t>
      </w:r>
      <w:r w:rsidR="00AB0FB2" w:rsidRPr="00AB0FB2">
        <w:t xml:space="preserve">Chongqing </w:t>
      </w:r>
      <w:r w:rsidR="00AB0FB2">
        <w:t xml:space="preserve">proceedings </w:t>
      </w:r>
      <w:r w:rsidR="00EB247E">
        <w:t xml:space="preserve">ZTE seek a determination of the terms of a global FRAND cross-licence between the parties covering the entirety of their respective portfolios of </w:t>
      </w:r>
      <w:r w:rsidR="00DF7198">
        <w:t xml:space="preserve">wireless communication </w:t>
      </w:r>
      <w:r w:rsidR="00EB247E">
        <w:t xml:space="preserve">SEPs. </w:t>
      </w:r>
    </w:p>
    <w:p w14:paraId="22AAC9D1" w14:textId="267BAB7F" w:rsidR="00EB247E" w:rsidRDefault="00EB247E" w:rsidP="004563C6">
      <w:pPr>
        <w:pStyle w:val="ParaLevel1"/>
      </w:pPr>
      <w:r>
        <w:t>On 24 January 2025 Samsung challenged the personal jurisdiction of the Chongqing Court. That challenge was rejected by a judgment of 4 June 2025. Samsung</w:t>
      </w:r>
      <w:r w:rsidR="00694D64">
        <w:t>’s appeal against</w:t>
      </w:r>
      <w:r>
        <w:t xml:space="preserve"> that judgment</w:t>
      </w:r>
      <w:r w:rsidR="00694D64">
        <w:t xml:space="preserve"> was</w:t>
      </w:r>
      <w:r>
        <w:t xml:space="preserve"> dismissed </w:t>
      </w:r>
      <w:r w:rsidR="0006223D" w:rsidRPr="0006223D">
        <w:t xml:space="preserve">by the Supreme People’s Court of China </w:t>
      </w:r>
      <w:r>
        <w:t>on 30 July 2025.</w:t>
      </w:r>
    </w:p>
    <w:p w14:paraId="5DA490F5" w14:textId="4DC73DE6" w:rsidR="00D81EE7" w:rsidRDefault="00D81EE7" w:rsidP="004563C6">
      <w:pPr>
        <w:pStyle w:val="ParaLevel1"/>
      </w:pPr>
      <w:r>
        <w:t xml:space="preserve">The </w:t>
      </w:r>
      <w:r w:rsidRPr="00D81EE7">
        <w:t>Chongqing</w:t>
      </w:r>
      <w:r>
        <w:t xml:space="preserve"> Court has </w:t>
      </w:r>
      <w:r w:rsidR="005E735A">
        <w:t xml:space="preserve">held substantive hearings on 8-12 September, 13-17 October 2025 and 27-31 October 2025. Thus it appears that there is a </w:t>
      </w:r>
      <w:r w:rsidR="00143ECC">
        <w:t xml:space="preserve">real prospect of the </w:t>
      </w:r>
      <w:r w:rsidR="00143ECC" w:rsidRPr="00143ECC">
        <w:t>Chongqing</w:t>
      </w:r>
      <w:r w:rsidR="00143ECC">
        <w:t xml:space="preserve"> Court issuing its decision on </w:t>
      </w:r>
      <w:r w:rsidR="00143ECC" w:rsidRPr="00143ECC">
        <w:t>FRAND</w:t>
      </w:r>
      <w:r w:rsidR="00376D54">
        <w:t xml:space="preserve"> before the start of the English </w:t>
      </w:r>
      <w:r w:rsidR="00376D54" w:rsidRPr="00376D54">
        <w:t>FRAND</w:t>
      </w:r>
      <w:r w:rsidR="00376D54">
        <w:t xml:space="preserve"> trial on 12 January 2026, or at any rate before the judge hearing that trial </w:t>
      </w:r>
      <w:r w:rsidR="002743F9">
        <w:t>hands down his or her judgment.</w:t>
      </w:r>
    </w:p>
    <w:p w14:paraId="7C4DF883" w14:textId="0A7E2DBC" w:rsidR="005A52F0" w:rsidRPr="005A52F0" w:rsidRDefault="005A52F0" w:rsidP="004563C6">
      <w:pPr>
        <w:pStyle w:val="ParaHeading"/>
        <w:rPr>
          <w:i/>
          <w:iCs/>
        </w:rPr>
      </w:pPr>
      <w:r w:rsidRPr="005A52F0">
        <w:rPr>
          <w:i/>
          <w:iCs/>
        </w:rPr>
        <w:t xml:space="preserve">Frankfurt </w:t>
      </w:r>
      <w:r>
        <w:rPr>
          <w:i/>
          <w:iCs/>
        </w:rPr>
        <w:t>p</w:t>
      </w:r>
      <w:r w:rsidRPr="005A52F0">
        <w:rPr>
          <w:i/>
          <w:iCs/>
        </w:rPr>
        <w:t>roceedings</w:t>
      </w:r>
      <w:r w:rsidR="000D34F2">
        <w:rPr>
          <w:i/>
          <w:iCs/>
        </w:rPr>
        <w:t xml:space="preserve"> brought by </w:t>
      </w:r>
      <w:r w:rsidR="000D34F2" w:rsidRPr="000D34F2">
        <w:rPr>
          <w:i/>
          <w:iCs/>
        </w:rPr>
        <w:t>Samsung</w:t>
      </w:r>
    </w:p>
    <w:p w14:paraId="0D0D12D6" w14:textId="5E0E9379" w:rsidR="00EB247E" w:rsidRDefault="00EB247E" w:rsidP="004563C6">
      <w:pPr>
        <w:pStyle w:val="ParaLevel1"/>
      </w:pPr>
      <w:r>
        <w:t xml:space="preserve">On 20 December 2024, one day after issuing the English </w:t>
      </w:r>
      <w:r w:rsidR="005A52F0">
        <w:t>p</w:t>
      </w:r>
      <w:r>
        <w:t xml:space="preserve">roceedings, Samsung issued competition law proceedings in the Frankfurt District Court. ZTE’s evidence before Mellor J was that the Frankfurt </w:t>
      </w:r>
      <w:r w:rsidR="0070262B">
        <w:t>p</w:t>
      </w:r>
      <w:r>
        <w:t xml:space="preserve">roceedings had the potential to result in a third determination of FRAND terms, but </w:t>
      </w:r>
      <w:r w:rsidR="0070262B">
        <w:t>the judge</w:t>
      </w:r>
      <w:r>
        <w:t xml:space="preserve"> found that the possibility of global FRAND determination is “</w:t>
      </w:r>
      <w:r w:rsidRPr="0070262B">
        <w:t>mooted in Samsung</w:t>
      </w:r>
      <w:r w:rsidR="00B467C9">
        <w:t>’</w:t>
      </w:r>
      <w:r w:rsidRPr="0070262B">
        <w:t>s Frankfurt pleading in a very tentative way</w:t>
      </w:r>
      <w:r>
        <w:t>”</w:t>
      </w:r>
      <w:r w:rsidR="00B467C9">
        <w:t>. There is no challenge to that finding, and accordingly the Frankfurt proceedings did not</w:t>
      </w:r>
      <w:r w:rsidR="005D63D6">
        <w:t xml:space="preserve"> feature in the argument before us.</w:t>
      </w:r>
      <w:r w:rsidR="00B467C9">
        <w:t xml:space="preserve">  </w:t>
      </w:r>
    </w:p>
    <w:p w14:paraId="41543159" w14:textId="34856DA3" w:rsidR="0008438E" w:rsidRPr="0008438E" w:rsidRDefault="0008438E" w:rsidP="004563C6">
      <w:pPr>
        <w:pStyle w:val="ParaHeading"/>
        <w:rPr>
          <w:i/>
          <w:iCs/>
        </w:rPr>
      </w:pPr>
      <w:r w:rsidRPr="0008438E">
        <w:rPr>
          <w:i/>
          <w:iCs/>
        </w:rPr>
        <w:t>German and UPC proceedings</w:t>
      </w:r>
      <w:r w:rsidR="00E60402">
        <w:rPr>
          <w:i/>
          <w:iCs/>
        </w:rPr>
        <w:t xml:space="preserve"> brought by </w:t>
      </w:r>
      <w:r w:rsidR="00E60402" w:rsidRPr="00E60402">
        <w:rPr>
          <w:i/>
          <w:iCs/>
        </w:rPr>
        <w:t>ZTE</w:t>
      </w:r>
    </w:p>
    <w:p w14:paraId="067F6019" w14:textId="2A9E1458" w:rsidR="000324D4" w:rsidRPr="000324D4" w:rsidRDefault="00CC74E0" w:rsidP="004563C6">
      <w:pPr>
        <w:pStyle w:val="ParaLevel1"/>
      </w:pPr>
      <w:r>
        <w:t>O</w:t>
      </w:r>
      <w:r w:rsidRPr="00CC74E0">
        <w:t xml:space="preserve">n 1 January 2025 </w:t>
      </w:r>
      <w:r w:rsidR="002C422F">
        <w:t xml:space="preserve">ZTE </w:t>
      </w:r>
      <w:r>
        <w:t xml:space="preserve">commenced </w:t>
      </w:r>
      <w:r w:rsidR="00931A8C">
        <w:t xml:space="preserve">three </w:t>
      </w:r>
      <w:r w:rsidR="0008438E">
        <w:t xml:space="preserve">patent infringement proceedings seeking </w:t>
      </w:r>
      <w:r w:rsidR="002C422F">
        <w:t>unqualified injunctive relief</w:t>
      </w:r>
      <w:r w:rsidR="00931A8C">
        <w:t>, one</w:t>
      </w:r>
      <w:r w:rsidR="002C422F">
        <w:t xml:space="preserve"> in the </w:t>
      </w:r>
      <w:r w:rsidR="00966609">
        <w:t>Munich I Regional Court</w:t>
      </w:r>
      <w:r w:rsidR="00C536D2">
        <w:t xml:space="preserve"> </w:t>
      </w:r>
      <w:r w:rsidR="002C422F">
        <w:t xml:space="preserve">and </w:t>
      </w:r>
      <w:r w:rsidR="00931A8C">
        <w:t xml:space="preserve">two </w:t>
      </w:r>
      <w:r w:rsidR="002C422F">
        <w:t xml:space="preserve">in the Mannheim Local Division of the Unified Patents Court </w:t>
      </w:r>
      <w:r w:rsidR="0008438E">
        <w:t>(</w:t>
      </w:r>
      <w:r w:rsidR="002C422F">
        <w:t>“</w:t>
      </w:r>
      <w:r w:rsidR="0000278B">
        <w:t xml:space="preserve">the </w:t>
      </w:r>
      <w:r w:rsidR="002C422F" w:rsidRPr="0008438E">
        <w:t>UPC</w:t>
      </w:r>
      <w:r w:rsidR="002C422F">
        <w:t>”).</w:t>
      </w:r>
      <w:r w:rsidR="00F95E25">
        <w:t xml:space="preserve"> </w:t>
      </w:r>
      <w:bookmarkStart w:id="6" w:name="para39"/>
      <w:r w:rsidR="000324D4" w:rsidRPr="000324D4">
        <w:t>On 10 January 2025 ZTE commenced a second action for infringement in Munich.</w:t>
      </w:r>
      <w:bookmarkEnd w:id="6"/>
    </w:p>
    <w:p w14:paraId="7EA9678D" w14:textId="44D09107" w:rsidR="002E3C48" w:rsidRPr="00895610" w:rsidRDefault="002E3C48" w:rsidP="004563C6">
      <w:pPr>
        <w:pStyle w:val="ParaHeading"/>
        <w:rPr>
          <w:i/>
          <w:iCs/>
        </w:rPr>
      </w:pPr>
      <w:bookmarkStart w:id="7" w:name="para40"/>
      <w:r w:rsidRPr="00895610">
        <w:rPr>
          <w:i/>
          <w:iCs/>
        </w:rPr>
        <w:t xml:space="preserve">Brazilian and </w:t>
      </w:r>
      <w:r w:rsidR="00492DEC" w:rsidRPr="00895610">
        <w:rPr>
          <w:i/>
          <w:iCs/>
        </w:rPr>
        <w:t>Hangzhou</w:t>
      </w:r>
      <w:r w:rsidR="00895610" w:rsidRPr="00895610">
        <w:rPr>
          <w:i/>
          <w:iCs/>
        </w:rPr>
        <w:t xml:space="preserve"> proceedings brought by ZTE</w:t>
      </w:r>
    </w:p>
    <w:p w14:paraId="49E8DAB0" w14:textId="55946B00" w:rsidR="00895610" w:rsidRPr="00895610" w:rsidRDefault="000324D4" w:rsidP="004563C6">
      <w:pPr>
        <w:pStyle w:val="ParaLevel1"/>
      </w:pPr>
      <w:r w:rsidRPr="000324D4">
        <w:t>On 15 January 2025 ZTE commenced an action for infringement in Brazil</w:t>
      </w:r>
      <w:bookmarkEnd w:id="7"/>
      <w:r w:rsidR="002E3C48">
        <w:t>.</w:t>
      </w:r>
      <w:bookmarkStart w:id="8" w:name="para42"/>
      <w:r w:rsidR="00895610" w:rsidRPr="00895610">
        <w:t xml:space="preserve"> On 23 January 2025 ZTE obtained a preliminary injunction against Samsung in Brazil, apparently on an </w:t>
      </w:r>
      <w:r w:rsidR="00895610" w:rsidRPr="00895610">
        <w:rPr>
          <w:i/>
          <w:iCs/>
        </w:rPr>
        <w:t>ex parte</w:t>
      </w:r>
      <w:r w:rsidR="00895610" w:rsidRPr="00895610">
        <w:t> but on notice basis.</w:t>
      </w:r>
      <w:bookmarkEnd w:id="8"/>
      <w:r w:rsidR="009F0660">
        <w:t xml:space="preserve"> An appeal was heard on 19 March 2025</w:t>
      </w:r>
      <w:r w:rsidR="002F4B74">
        <w:t xml:space="preserve"> and judgment is awaited</w:t>
      </w:r>
      <w:r w:rsidR="009F0660">
        <w:t xml:space="preserve">. The injunction was lifted on </w:t>
      </w:r>
      <w:r w:rsidR="002F4B74">
        <w:t xml:space="preserve">25 March 2025 after </w:t>
      </w:r>
      <w:r w:rsidR="002F4B74" w:rsidRPr="002F4B74">
        <w:t>Samsung</w:t>
      </w:r>
      <w:r w:rsidR="002F4B74">
        <w:t xml:space="preserve"> had posted a bond. </w:t>
      </w:r>
    </w:p>
    <w:p w14:paraId="2531E664" w14:textId="289F4E98" w:rsidR="000324D4" w:rsidRPr="000324D4" w:rsidRDefault="000324D4" w:rsidP="004563C6">
      <w:pPr>
        <w:pStyle w:val="ParaLevel1"/>
      </w:pPr>
      <w:bookmarkStart w:id="9" w:name="para41"/>
      <w:r w:rsidRPr="000324D4">
        <w:t xml:space="preserve">On 16 January 2025 ZTE commenced two actions for infringement in </w:t>
      </w:r>
      <w:r w:rsidR="00F4467F" w:rsidRPr="00F4467F">
        <w:t xml:space="preserve">the Intermediate People’s Court of </w:t>
      </w:r>
      <w:r w:rsidR="00F4467F">
        <w:t>Ha</w:t>
      </w:r>
      <w:r w:rsidRPr="000324D4">
        <w:t>ngzhou</w:t>
      </w:r>
      <w:r w:rsidR="007536CC">
        <w:t>, China</w:t>
      </w:r>
      <w:r w:rsidR="00F4467F">
        <w:t xml:space="preserve"> (“the </w:t>
      </w:r>
      <w:r w:rsidR="005A4F9A">
        <w:t>Hangzhou</w:t>
      </w:r>
      <w:r w:rsidR="00F4467F">
        <w:t xml:space="preserve"> Court”)</w:t>
      </w:r>
      <w:r w:rsidRPr="000324D4">
        <w:t>.</w:t>
      </w:r>
      <w:bookmarkEnd w:id="9"/>
    </w:p>
    <w:p w14:paraId="3DCAF5A3" w14:textId="391992E5" w:rsidR="005D63D6" w:rsidRPr="005D63D6" w:rsidRDefault="005D63D6" w:rsidP="004563C6">
      <w:pPr>
        <w:pStyle w:val="ParaHeading"/>
        <w:rPr>
          <w:i/>
          <w:iCs/>
        </w:rPr>
      </w:pPr>
      <w:r w:rsidRPr="005D63D6">
        <w:rPr>
          <w:i/>
          <w:iCs/>
        </w:rPr>
        <w:t>US proceedings</w:t>
      </w:r>
      <w:r w:rsidR="00F4467F">
        <w:rPr>
          <w:i/>
          <w:iCs/>
        </w:rPr>
        <w:t xml:space="preserve"> brought by </w:t>
      </w:r>
      <w:r w:rsidR="00F4467F" w:rsidRPr="00F4467F">
        <w:rPr>
          <w:i/>
          <w:iCs/>
        </w:rPr>
        <w:t>Samsung</w:t>
      </w:r>
    </w:p>
    <w:p w14:paraId="718A4B71" w14:textId="339F259D" w:rsidR="00EB247E" w:rsidRDefault="00EB247E" w:rsidP="004563C6">
      <w:pPr>
        <w:pStyle w:val="ParaLevel1"/>
      </w:pPr>
      <w:r>
        <w:t xml:space="preserve">On 25 February 2025 Samsung brought anti-trust proceedings in the US District Court for the Northern District of California. The </w:t>
      </w:r>
      <w:r w:rsidR="00A26F53">
        <w:t xml:space="preserve">precise </w:t>
      </w:r>
      <w:r>
        <w:t>nature of the US </w:t>
      </w:r>
      <w:r w:rsidR="0067472F">
        <w:t>p</w:t>
      </w:r>
      <w:r>
        <w:t xml:space="preserve">roceedings </w:t>
      </w:r>
      <w:r w:rsidR="00A26F53">
        <w:t>is</w:t>
      </w:r>
      <w:r>
        <w:t xml:space="preserve"> unclear,</w:t>
      </w:r>
      <w:r w:rsidR="00A26F53">
        <w:t xml:space="preserve"> and accordingly the US proceedings did not feature in the argument before us</w:t>
      </w:r>
      <w:r>
        <w:t>.</w:t>
      </w:r>
    </w:p>
    <w:p w14:paraId="2D09FE26" w14:textId="4456913B" w:rsidR="003D1D1B" w:rsidRPr="003D1D1B" w:rsidRDefault="003D1D1B" w:rsidP="004563C6">
      <w:pPr>
        <w:pStyle w:val="ParaHeading"/>
        <w:rPr>
          <w:i/>
          <w:iCs/>
        </w:rPr>
      </w:pPr>
      <w:r w:rsidRPr="003D1D1B">
        <w:rPr>
          <w:i/>
          <w:iCs/>
        </w:rPr>
        <w:t xml:space="preserve">German, UPC and </w:t>
      </w:r>
      <w:r w:rsidR="002A2F52" w:rsidRPr="003D1D1B">
        <w:rPr>
          <w:i/>
          <w:iCs/>
        </w:rPr>
        <w:t>Hangzhou</w:t>
      </w:r>
      <w:r w:rsidRPr="003D1D1B">
        <w:rPr>
          <w:i/>
          <w:iCs/>
        </w:rPr>
        <w:t xml:space="preserve"> proceedings brought by Samsung</w:t>
      </w:r>
    </w:p>
    <w:p w14:paraId="5A01B393" w14:textId="27094B64" w:rsidR="003D1D1B" w:rsidRDefault="007536CC" w:rsidP="004563C6">
      <w:pPr>
        <w:pStyle w:val="ParaLevel1"/>
      </w:pPr>
      <w:r>
        <w:t>O</w:t>
      </w:r>
      <w:r w:rsidRPr="007536CC">
        <w:t xml:space="preserve">n 28 February 2025 </w:t>
      </w:r>
      <w:r w:rsidR="003D1D1B">
        <w:t xml:space="preserve">Samsung </w:t>
      </w:r>
      <w:r>
        <w:t xml:space="preserve">commenced </w:t>
      </w:r>
      <w:r w:rsidR="007700DE">
        <w:t xml:space="preserve">five </w:t>
      </w:r>
      <w:r>
        <w:t xml:space="preserve">patent infringement proceedings seeking </w:t>
      </w:r>
      <w:r w:rsidR="003D1D1B">
        <w:t>unqualified injunctive relief</w:t>
      </w:r>
      <w:r w:rsidR="007700DE">
        <w:t xml:space="preserve">: </w:t>
      </w:r>
      <w:r w:rsidR="00472523">
        <w:t>a counterclaim</w:t>
      </w:r>
      <w:r w:rsidR="003D1D1B">
        <w:t xml:space="preserve"> in the </w:t>
      </w:r>
      <w:r w:rsidR="00966609">
        <w:t>Munich I Regional Court</w:t>
      </w:r>
      <w:r w:rsidR="00C536D2">
        <w:t xml:space="preserve"> </w:t>
      </w:r>
      <w:r w:rsidR="00472523">
        <w:t xml:space="preserve">proceedings brought by </w:t>
      </w:r>
      <w:r w:rsidR="00472523" w:rsidRPr="00472523">
        <w:t>ZTE</w:t>
      </w:r>
      <w:r w:rsidR="003D1D1B">
        <w:t>,</w:t>
      </w:r>
      <w:r w:rsidR="00472523">
        <w:t xml:space="preserve"> two </w:t>
      </w:r>
      <w:r w:rsidR="006A4FEB">
        <w:t>claims in</w:t>
      </w:r>
      <w:r w:rsidR="003D1D1B">
        <w:t xml:space="preserve"> the UPC and </w:t>
      </w:r>
      <w:r w:rsidR="006A4FEB">
        <w:t xml:space="preserve">two claims in </w:t>
      </w:r>
      <w:r w:rsidR="003D1D1B">
        <w:t>the Hangzhou</w:t>
      </w:r>
      <w:r w:rsidR="006A4FEB">
        <w:t xml:space="preserve"> Court</w:t>
      </w:r>
      <w:r w:rsidR="003D1D1B">
        <w:t>.</w:t>
      </w:r>
      <w:r w:rsidR="006A4FEB">
        <w:t xml:space="preserve"> On 6 March 2025 </w:t>
      </w:r>
      <w:r w:rsidR="006A4FEB" w:rsidRPr="006A4FEB">
        <w:t>Samsung</w:t>
      </w:r>
      <w:r w:rsidR="006A4FEB">
        <w:t xml:space="preserve"> commenced a further claim in </w:t>
      </w:r>
      <w:r w:rsidR="006A4FEB" w:rsidRPr="006A4FEB">
        <w:t xml:space="preserve">the </w:t>
      </w:r>
      <w:r w:rsidR="0042424D">
        <w:t xml:space="preserve">Munich </w:t>
      </w:r>
      <w:r w:rsidR="00C536D2">
        <w:t xml:space="preserve">I </w:t>
      </w:r>
      <w:r w:rsidR="0042424D">
        <w:t>Regional Court</w:t>
      </w:r>
      <w:r w:rsidR="006A4FEB">
        <w:t>.</w:t>
      </w:r>
    </w:p>
    <w:p w14:paraId="77F116F8" w14:textId="0B9F5FD2" w:rsidR="000F60FB" w:rsidRPr="000F60FB" w:rsidRDefault="000F60FB" w:rsidP="004563C6">
      <w:pPr>
        <w:pStyle w:val="ParaLevel1"/>
        <w:numPr>
          <w:ilvl w:val="0"/>
          <w:numId w:val="0"/>
        </w:numPr>
        <w:rPr>
          <w:i/>
          <w:iCs/>
        </w:rPr>
      </w:pPr>
      <w:r w:rsidRPr="000F60FB">
        <w:rPr>
          <w:i/>
          <w:iCs/>
        </w:rPr>
        <w:t>German invalidity proceedings brought by both parties</w:t>
      </w:r>
    </w:p>
    <w:p w14:paraId="1B9E122D" w14:textId="0115C18F" w:rsidR="000F60FB" w:rsidRDefault="000F60FB" w:rsidP="004563C6">
      <w:pPr>
        <w:pStyle w:val="ParaLevel1"/>
      </w:pPr>
      <w:r>
        <w:t>As I understand it, both parties have brought invalidity proceedings in the German Federal Patents Court in respect of the patents alleged to be infringed by the other.</w:t>
      </w:r>
    </w:p>
    <w:p w14:paraId="16A35306" w14:textId="7B62781B" w:rsidR="00C00919" w:rsidRDefault="00085064" w:rsidP="004563C6">
      <w:pPr>
        <w:pStyle w:val="ParaHeading"/>
        <w:rPr>
          <w:i/>
          <w:iCs/>
        </w:rPr>
      </w:pPr>
      <w:r>
        <w:rPr>
          <w:i/>
          <w:iCs/>
        </w:rPr>
        <w:t>S</w:t>
      </w:r>
      <w:r w:rsidR="00C00919">
        <w:rPr>
          <w:i/>
          <w:iCs/>
        </w:rPr>
        <w:t>tandstill offer</w:t>
      </w:r>
      <w:r>
        <w:rPr>
          <w:i/>
          <w:iCs/>
        </w:rPr>
        <w:t>s made by the parties</w:t>
      </w:r>
    </w:p>
    <w:p w14:paraId="12B4C3A8" w14:textId="2F7CACEC" w:rsidR="00C00919" w:rsidRDefault="00C00919" w:rsidP="004563C6">
      <w:pPr>
        <w:pStyle w:val="ParaLevel1"/>
      </w:pPr>
      <w:r>
        <w:t>On 1 January 2025 ZTE wrote to Samsung (i) inviting Samsung to agree to a determination of FRAND terms for a global cross-licence of the parties’ respective portfolios of wireless communication SEPs by the Chongqing Court and (ii) offering to stay or terminate all other global litigation if Samsung did</w:t>
      </w:r>
      <w:r w:rsidR="00B214CB">
        <w:t xml:space="preserve"> </w:t>
      </w:r>
      <w:r>
        <w:t>agree. That offer has not been accepted by Samsung. It remains open.</w:t>
      </w:r>
    </w:p>
    <w:p w14:paraId="54D55D72" w14:textId="32333EFD" w:rsidR="00EB247E" w:rsidRDefault="00EB247E" w:rsidP="004563C6">
      <w:pPr>
        <w:pStyle w:val="ParaLevel1"/>
      </w:pPr>
      <w:r>
        <w:t xml:space="preserve">On 14 February 2025 Samsung proposed to ZTE that the parties enter into a standstill of all global litigation pending the determination of FRAND terms in the English proceedings. That offer would have required ZTE to abandon the Chongqing </w:t>
      </w:r>
      <w:r w:rsidR="009D19A7">
        <w:t>p</w:t>
      </w:r>
      <w:r>
        <w:t xml:space="preserve">roceedings. </w:t>
      </w:r>
      <w:r w:rsidR="00CF4513">
        <w:t xml:space="preserve">That offer has not been accepted by </w:t>
      </w:r>
      <w:r>
        <w:t>ZTE.</w:t>
      </w:r>
      <w:r w:rsidR="00CF4513">
        <w:t xml:space="preserve"> It appears that it remains open.</w:t>
      </w:r>
    </w:p>
    <w:p w14:paraId="5FB6B6EB" w14:textId="67CE0D1A" w:rsidR="00970528" w:rsidRPr="00970528" w:rsidRDefault="00970528" w:rsidP="004563C6">
      <w:pPr>
        <w:pStyle w:val="ParaHeading"/>
        <w:rPr>
          <w:i/>
          <w:iCs/>
        </w:rPr>
      </w:pPr>
      <w:r w:rsidRPr="00970528">
        <w:rPr>
          <w:i/>
          <w:iCs/>
        </w:rPr>
        <w:t>The interim licence application</w:t>
      </w:r>
    </w:p>
    <w:p w14:paraId="6926D83A" w14:textId="1E0EBC77" w:rsidR="00EB247E" w:rsidRDefault="00A71306" w:rsidP="004563C6">
      <w:pPr>
        <w:pStyle w:val="ParaLevel1"/>
      </w:pPr>
      <w:r>
        <w:t>O</w:t>
      </w:r>
      <w:r w:rsidR="00EB247E">
        <w:t xml:space="preserve">n 11 March 2025 Samsung made its </w:t>
      </w:r>
      <w:r w:rsidR="00513731">
        <w:t>a</w:t>
      </w:r>
      <w:r w:rsidR="00EB247E">
        <w:t>pplication</w:t>
      </w:r>
      <w:r w:rsidR="00192D1F">
        <w:t xml:space="preserve"> for </w:t>
      </w:r>
      <w:r w:rsidR="00EE1B44">
        <w:t>an interim licence declaration</w:t>
      </w:r>
      <w:r w:rsidR="00EB247E">
        <w:t xml:space="preserve"> </w:t>
      </w:r>
      <w:r w:rsidR="00513731">
        <w:t>(</w:t>
      </w:r>
      <w:r w:rsidR="00EB247E">
        <w:t xml:space="preserve">although its intention to make such an application had been signalled by service of a draft Amended </w:t>
      </w:r>
      <w:r w:rsidR="00513731">
        <w:t>Particulars of Claim</w:t>
      </w:r>
      <w:r w:rsidR="00EB247E">
        <w:t xml:space="preserve"> on 28 January 2025</w:t>
      </w:r>
      <w:r w:rsidR="00513731">
        <w:t>)</w:t>
      </w:r>
      <w:r w:rsidR="00EB247E">
        <w:t xml:space="preserve">. Samsung circulated the terms of </w:t>
      </w:r>
      <w:r w:rsidR="00617E5C">
        <w:t>their</w:t>
      </w:r>
      <w:r w:rsidR="00EB247E">
        <w:t xml:space="preserve"> proposed </w:t>
      </w:r>
      <w:r w:rsidR="00574EF7">
        <w:t>i</w:t>
      </w:r>
      <w:r w:rsidR="00EB247E">
        <w:t xml:space="preserve">nterim </w:t>
      </w:r>
      <w:r w:rsidR="00574EF7">
        <w:t>l</w:t>
      </w:r>
      <w:r w:rsidR="00EB247E">
        <w:t>icence on 12 March 2025</w:t>
      </w:r>
      <w:r w:rsidR="00AD623D">
        <w:t>.</w:t>
      </w:r>
      <w:r w:rsidR="00EB247E">
        <w:t xml:space="preserve"> This was also an offer for a global cross-licence covering the parties’ respective SEPs, providing for an upfront payment from Samsung to ZTE (albeit in an amount lower than that proposed by ZTE in March), but subject to prospective and retrospective adjustment of all terms in accordance with the FRAND determination of the </w:t>
      </w:r>
      <w:r w:rsidR="00EB247E" w:rsidRPr="0035283C">
        <w:t>English</w:t>
      </w:r>
      <w:r w:rsidR="00EB247E">
        <w:t xml:space="preserve"> </w:t>
      </w:r>
      <w:r w:rsidR="0035283C">
        <w:t>c</w:t>
      </w:r>
      <w:r w:rsidR="00EB247E">
        <w:t>ourt</w:t>
      </w:r>
      <w:r w:rsidR="0035283C">
        <w:t>s</w:t>
      </w:r>
      <w:r w:rsidR="00EB247E">
        <w:t>.</w:t>
      </w:r>
    </w:p>
    <w:p w14:paraId="531FD317" w14:textId="52474853" w:rsidR="00A71306" w:rsidRDefault="00A71306" w:rsidP="004563C6">
      <w:pPr>
        <w:pStyle w:val="ParaLevel1"/>
      </w:pPr>
      <w:r>
        <w:t xml:space="preserve">Also on 11 March 2025 ZTE offered Samsung a global interim cross-licence covering the parties’ respective SEPs providing for an upfront payment from Samsung to ZTE, subject to prospective and retrospective adjustment of all terms (including royalties) in accordance with the final determination of FRAND terms in the Chongqing proceedings. </w:t>
      </w:r>
    </w:p>
    <w:p w14:paraId="1242053C" w14:textId="06C0A976" w:rsidR="00EB247E" w:rsidRDefault="00EB247E" w:rsidP="004563C6">
      <w:pPr>
        <w:pStyle w:val="ParaLevel1"/>
      </w:pPr>
      <w:r>
        <w:t xml:space="preserve">ZTE made a further interim licence offer on 16 April 2025, which supplemented </w:t>
      </w:r>
      <w:r w:rsidR="00E205B6">
        <w:t xml:space="preserve">ZTE’s </w:t>
      </w:r>
      <w:r>
        <w:t xml:space="preserve">March </w:t>
      </w:r>
      <w:r w:rsidR="00E205B6">
        <w:t>offer</w:t>
      </w:r>
      <w:r>
        <w:t xml:space="preserve">. Samsung served an amended set of proposed </w:t>
      </w:r>
      <w:r w:rsidR="00E205B6">
        <w:t>i</w:t>
      </w:r>
      <w:r>
        <w:t xml:space="preserve">nterim </w:t>
      </w:r>
      <w:r w:rsidR="00E205B6">
        <w:t>l</w:t>
      </w:r>
      <w:r>
        <w:t>icence terms on 12 May 2025.</w:t>
      </w:r>
    </w:p>
    <w:p w14:paraId="09CF9250" w14:textId="6C75AC7E" w:rsidR="00EB247E" w:rsidRDefault="00EB247E" w:rsidP="004563C6">
      <w:pPr>
        <w:pStyle w:val="ParaLevel1"/>
      </w:pPr>
      <w:r>
        <w:t xml:space="preserve">By the time of the hearing before </w:t>
      </w:r>
      <w:r w:rsidR="005B1DE9" w:rsidRPr="005B1DE9">
        <w:t>the judge</w:t>
      </w:r>
      <w:r>
        <w:t xml:space="preserve">, any earlier differences as to the scope of the interim licence and the level of upfront payment had dissipated. The only material difference between the </w:t>
      </w:r>
      <w:r w:rsidR="00797486">
        <w:t>parties</w:t>
      </w:r>
      <w:r w:rsidR="009D5B95">
        <w:t>’ proposals</w:t>
      </w:r>
      <w:r w:rsidR="00797486">
        <w:t xml:space="preserve"> </w:t>
      </w:r>
      <w:r>
        <w:t xml:space="preserve">was as to the forum that </w:t>
      </w:r>
      <w:r w:rsidR="00797486">
        <w:t xml:space="preserve">should </w:t>
      </w:r>
      <w:r>
        <w:t>determine FRAND terms</w:t>
      </w:r>
      <w:r w:rsidR="00797486">
        <w:t xml:space="preserve"> for the final cross-licence</w:t>
      </w:r>
      <w:r>
        <w:t>.</w:t>
      </w:r>
    </w:p>
    <w:p w14:paraId="42423B51" w14:textId="5FB8D1A1" w:rsidR="00402A61" w:rsidRPr="00535084" w:rsidRDefault="00535084" w:rsidP="004563C6">
      <w:pPr>
        <w:pStyle w:val="ParaHeading"/>
        <w:rPr>
          <w:i/>
          <w:iCs/>
        </w:rPr>
      </w:pPr>
      <w:r w:rsidRPr="00535084">
        <w:rPr>
          <w:i/>
          <w:iCs/>
        </w:rPr>
        <w:t>Samsung’s complaint to ETSI</w:t>
      </w:r>
    </w:p>
    <w:p w14:paraId="5AC50F47" w14:textId="3AA31D0E" w:rsidR="00402A61" w:rsidRDefault="00535084" w:rsidP="004563C6">
      <w:pPr>
        <w:pStyle w:val="ParaLevel1"/>
      </w:pPr>
      <w:r>
        <w:t xml:space="preserve">On 18 July 2025 </w:t>
      </w:r>
      <w:r w:rsidR="00404290" w:rsidRPr="00404290">
        <w:t>Samsung</w:t>
      </w:r>
      <w:r w:rsidR="00404290">
        <w:t xml:space="preserve"> complained to ETSI that </w:t>
      </w:r>
      <w:r w:rsidR="00404290" w:rsidRPr="00404290">
        <w:t>ZTE</w:t>
      </w:r>
      <w:r w:rsidR="00404290">
        <w:t xml:space="preserve"> was in breach of the</w:t>
      </w:r>
      <w:r w:rsidR="00404290" w:rsidRPr="00404290">
        <w:rPr>
          <w:szCs w:val="24"/>
        </w:rPr>
        <w:t xml:space="preserve"> </w:t>
      </w:r>
      <w:r w:rsidR="00404290" w:rsidRPr="00404290">
        <w:t>ETSI</w:t>
      </w:r>
      <w:r w:rsidR="00404290">
        <w:t xml:space="preserve"> IPR Policy. On </w:t>
      </w:r>
      <w:r w:rsidR="006A23FE">
        <w:t>14</w:t>
      </w:r>
      <w:r w:rsidR="00C22C2F">
        <w:t xml:space="preserve"> October 202</w:t>
      </w:r>
      <w:r w:rsidR="006A23FE">
        <w:t>5</w:t>
      </w:r>
      <w:r w:rsidR="00C22C2F">
        <w:t xml:space="preserve"> </w:t>
      </w:r>
      <w:r w:rsidR="00C22C2F" w:rsidRPr="00C22C2F">
        <w:t>ZTE</w:t>
      </w:r>
      <w:r w:rsidR="00C22C2F">
        <w:t xml:space="preserve"> obtained an </w:t>
      </w:r>
      <w:r w:rsidR="00C22C2F" w:rsidRPr="006A23FE">
        <w:rPr>
          <w:i/>
          <w:iCs/>
        </w:rPr>
        <w:t>ex parte</w:t>
      </w:r>
      <w:r w:rsidR="00C22C2F">
        <w:t xml:space="preserve"> preliminary injunction</w:t>
      </w:r>
      <w:r w:rsidR="004332B9">
        <w:t xml:space="preserve"> from the </w:t>
      </w:r>
      <w:r w:rsidR="00966609">
        <w:t>Munich I Regional Court</w:t>
      </w:r>
      <w:r w:rsidR="004306D6">
        <w:t xml:space="preserve"> </w:t>
      </w:r>
      <w:r w:rsidR="006A23FE">
        <w:t>requiring</w:t>
      </w:r>
      <w:r w:rsidR="003B6E9B">
        <w:t xml:space="preserve"> </w:t>
      </w:r>
      <w:r w:rsidR="006A23FE" w:rsidRPr="006A23FE">
        <w:t>Samsung</w:t>
      </w:r>
      <w:r w:rsidR="006A23FE">
        <w:t xml:space="preserve"> to withdraw the complaint. On </w:t>
      </w:r>
      <w:r w:rsidR="00B836D3">
        <w:t xml:space="preserve">16 October 2025 </w:t>
      </w:r>
      <w:r w:rsidR="00B836D3" w:rsidRPr="00B836D3">
        <w:t>Samsung</w:t>
      </w:r>
      <w:r w:rsidR="00B836D3">
        <w:t xml:space="preserve"> withdrew the complaint in compliance with the injunction.</w:t>
      </w:r>
      <w:r w:rsidR="006A23FE">
        <w:t xml:space="preserve"> </w:t>
      </w:r>
      <w:r w:rsidR="00C22C2F">
        <w:t xml:space="preserve"> </w:t>
      </w:r>
      <w:r w:rsidR="00404290">
        <w:t xml:space="preserve"> </w:t>
      </w:r>
    </w:p>
    <w:p w14:paraId="481986A1" w14:textId="472D858C" w:rsidR="00A901F8" w:rsidRPr="00A901F8" w:rsidRDefault="00A901F8" w:rsidP="004563C6">
      <w:pPr>
        <w:pStyle w:val="ParaHeading"/>
        <w:rPr>
          <w:i/>
          <w:iCs/>
        </w:rPr>
      </w:pPr>
      <w:r w:rsidRPr="00A901F8">
        <w:rPr>
          <w:i/>
          <w:iCs/>
        </w:rPr>
        <w:t>A recent stay</w:t>
      </w:r>
      <w:r w:rsidR="00570CCE">
        <w:rPr>
          <w:i/>
          <w:iCs/>
        </w:rPr>
        <w:t xml:space="preserve"> in Germany</w:t>
      </w:r>
    </w:p>
    <w:p w14:paraId="077C9600" w14:textId="164D2F54" w:rsidR="00C61CF5" w:rsidRDefault="00861315" w:rsidP="004563C6">
      <w:pPr>
        <w:pStyle w:val="ParaLevel1"/>
      </w:pPr>
      <w:r>
        <w:t xml:space="preserve">On </w:t>
      </w:r>
      <w:r w:rsidR="00570CCE">
        <w:t>22 October 2025</w:t>
      </w:r>
      <w:r w:rsidR="00AE1575">
        <w:t xml:space="preserve"> the parties sensibly agreed to stay </w:t>
      </w:r>
      <w:r w:rsidR="00B41159">
        <w:t>three sets of proceedings in</w:t>
      </w:r>
      <w:r w:rsidR="00B41159" w:rsidRPr="00B41159">
        <w:rPr>
          <w:szCs w:val="24"/>
        </w:rPr>
        <w:t xml:space="preserve"> </w:t>
      </w:r>
      <w:r w:rsidR="00B41159" w:rsidRPr="00B41159">
        <w:t xml:space="preserve">the </w:t>
      </w:r>
      <w:r w:rsidR="00966609">
        <w:t>Munich I Regional Court</w:t>
      </w:r>
      <w:r w:rsidR="00570CCE">
        <w:t xml:space="preserve"> </w:t>
      </w:r>
      <w:r w:rsidR="00C80503">
        <w:t xml:space="preserve">where hearings </w:t>
      </w:r>
      <w:r w:rsidR="00BD407C">
        <w:t>had been</w:t>
      </w:r>
      <w:r w:rsidR="00C80503">
        <w:t xml:space="preserve"> scheduled in October and December 2025</w:t>
      </w:r>
      <w:r w:rsidR="00570CCE">
        <w:t xml:space="preserve"> and related invalidity proceedings </w:t>
      </w:r>
      <w:r w:rsidR="00FA1D2F">
        <w:t>in</w:t>
      </w:r>
      <w:r w:rsidR="00570CCE">
        <w:t xml:space="preserve"> the Federal </w:t>
      </w:r>
      <w:r w:rsidR="0020413E">
        <w:t>Patent Court</w:t>
      </w:r>
      <w:r w:rsidR="00C80503">
        <w:t>.</w:t>
      </w:r>
      <w:r w:rsidR="00BD407C">
        <w:t xml:space="preserve"> The next scheduled hearing in any of the German proceedings is on </w:t>
      </w:r>
      <w:r w:rsidR="00F678FB">
        <w:t xml:space="preserve">4 </w:t>
      </w:r>
      <w:r w:rsidR="00BD407C">
        <w:t>February 2026.</w:t>
      </w:r>
      <w:r w:rsidR="00A21378">
        <w:t xml:space="preserve"> The earliest scheduled hearing in the UPC is on </w:t>
      </w:r>
      <w:r w:rsidR="00170C06">
        <w:t>17-18 March 2026.</w:t>
      </w:r>
    </w:p>
    <w:p w14:paraId="2E1286DB" w14:textId="2CF84CE6" w:rsidR="002734F8" w:rsidRPr="002734F8" w:rsidRDefault="002734F8" w:rsidP="004563C6">
      <w:pPr>
        <w:pStyle w:val="ParaHeading"/>
        <w:rPr>
          <w:i/>
          <w:iCs/>
        </w:rPr>
      </w:pPr>
      <w:r w:rsidRPr="002734F8">
        <w:rPr>
          <w:i/>
          <w:iCs/>
        </w:rPr>
        <w:t>Offers to arbitrate</w:t>
      </w:r>
    </w:p>
    <w:p w14:paraId="4E7B885C" w14:textId="5C2D1DA7" w:rsidR="00A901F8" w:rsidRDefault="002734F8" w:rsidP="004563C6">
      <w:pPr>
        <w:pStyle w:val="ParaLevel1"/>
      </w:pPr>
      <w:r>
        <w:t xml:space="preserve">Given that each side objects to the other’s preferred forum for </w:t>
      </w:r>
      <w:r w:rsidRPr="002734F8">
        <w:t>FRAND</w:t>
      </w:r>
      <w:r>
        <w:t xml:space="preserve"> determination, the obvious solution is arbitration. We were told that both sides had made offers to arb</w:t>
      </w:r>
      <w:r w:rsidR="008974AD">
        <w:t xml:space="preserve">itrate, but neither had accepted the other’s offer. </w:t>
      </w:r>
      <w:r w:rsidR="00770C7E">
        <w:t xml:space="preserve">We were not given any details of either side’s proposal, save that we </w:t>
      </w:r>
      <w:r w:rsidR="007862A2">
        <w:t xml:space="preserve">were informed that it was agreed that the arbitral tribunal should be composed of </w:t>
      </w:r>
      <w:r w:rsidR="00617E5C">
        <w:t>persons</w:t>
      </w:r>
      <w:r w:rsidR="007862A2">
        <w:t xml:space="preserve"> who were neither</w:t>
      </w:r>
      <w:r w:rsidR="004F307B">
        <w:t xml:space="preserve"> Korean nor Chinese nationals.</w:t>
      </w:r>
      <w:r w:rsidR="007862A2">
        <w:t xml:space="preserve"> </w:t>
      </w:r>
      <w:r w:rsidR="008974AD">
        <w:t>I</w:t>
      </w:r>
      <w:r w:rsidR="00B6011D">
        <w:t xml:space="preserve">t is </w:t>
      </w:r>
      <w:r w:rsidR="00B6011D" w:rsidRPr="00B6011D">
        <w:t>deeply regrettable</w:t>
      </w:r>
      <w:r w:rsidR="008974AD">
        <w:t xml:space="preserve"> that the parties have been unable to agree terms for </w:t>
      </w:r>
      <w:r w:rsidR="008C00F9">
        <w:t>arbitration</w:t>
      </w:r>
      <w:r w:rsidR="00617E5C">
        <w:t xml:space="preserve"> of this dispute</w:t>
      </w:r>
      <w:r w:rsidR="008C00F9">
        <w:t xml:space="preserve">. As discussed in the course of argument, </w:t>
      </w:r>
      <w:r w:rsidR="009A6F61">
        <w:t xml:space="preserve">it merits consideration whether one way for such deadlocks to be broken would be for </w:t>
      </w:r>
      <w:r w:rsidR="009A6F61" w:rsidRPr="009A6F61">
        <w:t>the Patents Court</w:t>
      </w:r>
      <w:r w:rsidR="009A6F61">
        <w:t xml:space="preserve"> to be asked to make a declaration as to suitable arbitral terms. That is a question for another day, however.</w:t>
      </w:r>
      <w:r>
        <w:t xml:space="preserve"> </w:t>
      </w:r>
      <w:r w:rsidR="00C80503">
        <w:t xml:space="preserve"> </w:t>
      </w:r>
      <w:r w:rsidR="00B41159">
        <w:t xml:space="preserve"> </w:t>
      </w:r>
    </w:p>
    <w:p w14:paraId="45A1169B" w14:textId="161E3FFD" w:rsidR="002C5315" w:rsidRPr="002C5315" w:rsidRDefault="002C5315" w:rsidP="004563C6">
      <w:pPr>
        <w:pStyle w:val="ParaHeading"/>
        <w:rPr>
          <w:u w:val="single"/>
        </w:rPr>
      </w:pPr>
      <w:r w:rsidRPr="002C5315">
        <w:rPr>
          <w:u w:val="single"/>
        </w:rPr>
        <w:t>The judge’s judgment</w:t>
      </w:r>
    </w:p>
    <w:p w14:paraId="191615C2" w14:textId="66586D2D" w:rsidR="00AD7E1D" w:rsidRDefault="002C5315" w:rsidP="004563C6">
      <w:pPr>
        <w:pStyle w:val="ParaLevel1"/>
      </w:pPr>
      <w:r>
        <w:t xml:space="preserve">The judge’s judgment </w:t>
      </w:r>
      <w:r w:rsidR="00B7221E">
        <w:t>sets out</w:t>
      </w:r>
      <w:r>
        <w:t xml:space="preserve"> a meticulous </w:t>
      </w:r>
      <w:r w:rsidR="00B7221E">
        <w:t xml:space="preserve">account of the factual background, the applicable </w:t>
      </w:r>
      <w:r w:rsidR="00B8259B">
        <w:t xml:space="preserve">legal </w:t>
      </w:r>
      <w:r w:rsidR="00B7221E">
        <w:t>principles</w:t>
      </w:r>
      <w:r w:rsidR="002B4AE6">
        <w:t xml:space="preserve"> and the parties’ arguments</w:t>
      </w:r>
      <w:r w:rsidR="00B415E0">
        <w:t>,</w:t>
      </w:r>
      <w:r w:rsidR="002B4AE6">
        <w:t xml:space="preserve"> and </w:t>
      </w:r>
      <w:r w:rsidR="00253D23">
        <w:t>a careful analysis of those arguments.</w:t>
      </w:r>
      <w:r w:rsidR="00B8259B">
        <w:t xml:space="preserve"> There is no challenge</w:t>
      </w:r>
      <w:r w:rsidR="00934B0B">
        <w:t xml:space="preserve"> by either side</w:t>
      </w:r>
      <w:r w:rsidR="00B8259B">
        <w:t xml:space="preserve"> to the accuracy of the judge’s account of the factual background or the law</w:t>
      </w:r>
      <w:r w:rsidR="00934B0B">
        <w:t>.</w:t>
      </w:r>
      <w:r w:rsidR="00B8259B">
        <w:t xml:space="preserve"> </w:t>
      </w:r>
      <w:r w:rsidR="004B3E53">
        <w:t>T</w:t>
      </w:r>
      <w:r w:rsidR="00344AA4">
        <w:t>he key points</w:t>
      </w:r>
      <w:r w:rsidR="004B3E53">
        <w:t xml:space="preserve"> in the judge’s reasoning which are material to the appeal </w:t>
      </w:r>
      <w:r w:rsidR="00820352">
        <w:t>are</w:t>
      </w:r>
      <w:r w:rsidR="004B3E53">
        <w:t xml:space="preserve"> s</w:t>
      </w:r>
      <w:r w:rsidR="00696AD3">
        <w:t>et out</w:t>
      </w:r>
      <w:r w:rsidR="004B3E53">
        <w:t xml:space="preserve"> </w:t>
      </w:r>
      <w:r w:rsidR="00820352">
        <w:t>below</w:t>
      </w:r>
      <w:r w:rsidR="00344AA4">
        <w:t>.</w:t>
      </w:r>
    </w:p>
    <w:p w14:paraId="183284CC" w14:textId="60B08DA1" w:rsidR="004B3E53" w:rsidRDefault="005D7F11" w:rsidP="004563C6">
      <w:pPr>
        <w:pStyle w:val="ParaLevel1"/>
      </w:pPr>
      <w:r>
        <w:t xml:space="preserve">Before </w:t>
      </w:r>
      <w:r w:rsidR="00DB1492">
        <w:t xml:space="preserve">turning to the issues I have identified in paragraph </w:t>
      </w:r>
      <w:r w:rsidR="00563189">
        <w:t>8</w:t>
      </w:r>
      <w:r w:rsidR="00116291">
        <w:t xml:space="preserve"> above</w:t>
      </w:r>
      <w:r>
        <w:t>,</w:t>
      </w:r>
      <w:r w:rsidR="00116291">
        <w:t xml:space="preserve"> the judge </w:t>
      </w:r>
      <w:r w:rsidR="00C078AF">
        <w:t>addressed</w:t>
      </w:r>
      <w:r w:rsidR="00116291">
        <w:t xml:space="preserve"> two matters which are significant</w:t>
      </w:r>
      <w:r w:rsidR="00C078AF">
        <w:t>. First, he</w:t>
      </w:r>
      <w:r w:rsidR="00306FA2">
        <w:t xml:space="preserve"> explained </w:t>
      </w:r>
      <w:r w:rsidR="008F3F41">
        <w:t>that he had raised with the parties the possibility of a jurisdictionally</w:t>
      </w:r>
      <w:r w:rsidR="00E3478F">
        <w:t>-neutral interim licence:</w:t>
      </w:r>
    </w:p>
    <w:p w14:paraId="04A2F37C" w14:textId="3C9CA19C" w:rsidR="0036306B" w:rsidRPr="0036306B" w:rsidRDefault="00E3478F" w:rsidP="004563C6">
      <w:pPr>
        <w:pStyle w:val="Quote"/>
        <w:ind w:left="1474" w:hanging="737"/>
      </w:pPr>
      <w:r>
        <w:t>“</w:t>
      </w:r>
      <w:bookmarkStart w:id="10" w:name="para77"/>
      <w:r w:rsidR="000D2A92">
        <w:t>77.</w:t>
      </w:r>
      <w:r w:rsidR="000D2A92">
        <w:tab/>
      </w:r>
      <w:r w:rsidR="0036306B" w:rsidRPr="0036306B">
        <w:t>My second point, raised late on the first day, was exploring whether there were ways to craft an interim licence which did not specify the Court or methodology by which any adjustment to the interim licence may be made. Samsung prepared a note overnight addressing this issue, which persuaded me that (a) these ideas would only create unnecessary uncertainty and procedural complexity and (b) the nettle should be grasped now.</w:t>
      </w:r>
      <w:bookmarkEnd w:id="10"/>
    </w:p>
    <w:p w14:paraId="24CB822F" w14:textId="2CEEF550" w:rsidR="00E3478F" w:rsidRDefault="000D2A92" w:rsidP="004563C6">
      <w:pPr>
        <w:pStyle w:val="Quote"/>
        <w:ind w:left="1474" w:hanging="737"/>
      </w:pPr>
      <w:bookmarkStart w:id="11" w:name="para78"/>
      <w:r>
        <w:t>78.</w:t>
      </w:r>
      <w:r>
        <w:tab/>
      </w:r>
      <w:r w:rsidR="0036306B" w:rsidRPr="0036306B">
        <w:t>Accordingly, I leave aside any consideration of how, at the final FRAND trial, the Judge may consider whether, and if so how, to adjust the FRAND terms (including the royalty) in the light of developments elsewhere.</w:t>
      </w:r>
      <w:bookmarkEnd w:id="11"/>
      <w:r w:rsidR="00E3478F">
        <w:t>”</w:t>
      </w:r>
    </w:p>
    <w:p w14:paraId="750C0C73" w14:textId="3236A940" w:rsidR="00C078AF" w:rsidRDefault="00C078AF" w:rsidP="004563C6">
      <w:pPr>
        <w:pStyle w:val="ParaLevel1"/>
      </w:pPr>
      <w:r>
        <w:t xml:space="preserve">Secondly, </w:t>
      </w:r>
      <w:r w:rsidR="00170478" w:rsidRPr="00170478">
        <w:t xml:space="preserve">the judge </w:t>
      </w:r>
      <w:r w:rsidR="00170478">
        <w:t xml:space="preserve">considered a number of </w:t>
      </w:r>
      <w:r w:rsidR="00034F7C">
        <w:t xml:space="preserve">criticisms of Chinese law, the approach to </w:t>
      </w:r>
      <w:r w:rsidR="00034F7C" w:rsidRPr="00034F7C">
        <w:t>FRAND</w:t>
      </w:r>
      <w:r w:rsidR="00034F7C">
        <w:t xml:space="preserve"> cases in China </w:t>
      </w:r>
      <w:r w:rsidR="00614449">
        <w:t xml:space="preserve">and the </w:t>
      </w:r>
      <w:r w:rsidR="00614449" w:rsidRPr="00614449">
        <w:t>Chongqing</w:t>
      </w:r>
      <w:r w:rsidR="00614449">
        <w:t xml:space="preserve"> Court raised by </w:t>
      </w:r>
      <w:r w:rsidR="00614449" w:rsidRPr="00614449">
        <w:t>Samsung</w:t>
      </w:r>
      <w:r w:rsidR="00614449">
        <w:t>. He concluded at [81]:</w:t>
      </w:r>
    </w:p>
    <w:p w14:paraId="04950C95" w14:textId="16758D5E" w:rsidR="00E70467" w:rsidRPr="00E70467" w:rsidRDefault="00614449" w:rsidP="004563C6">
      <w:pPr>
        <w:pStyle w:val="Quote"/>
        <w:ind w:left="1474"/>
      </w:pPr>
      <w:r>
        <w:t>“</w:t>
      </w:r>
      <w:bookmarkStart w:id="12" w:name="para81"/>
      <w:r w:rsidR="00B11AB6">
        <w:t>I</w:t>
      </w:r>
      <w:r w:rsidR="00E70467" w:rsidRPr="00E70467">
        <w:t> do not find it necessary to address any of these criticisms advanced on behalf of Samsung for a number of reasons:</w:t>
      </w:r>
      <w:bookmarkEnd w:id="12"/>
    </w:p>
    <w:p w14:paraId="651056F1" w14:textId="4E5BC3AF" w:rsidR="00E70467" w:rsidRPr="00E70467" w:rsidRDefault="00E70467" w:rsidP="004563C6">
      <w:pPr>
        <w:pStyle w:val="Quote"/>
        <w:ind w:left="2211" w:hanging="737"/>
      </w:pPr>
      <w:r w:rsidRPr="00E70467">
        <w:t xml:space="preserve">i) </w:t>
      </w:r>
      <w:r w:rsidR="004E0516">
        <w:tab/>
      </w:r>
      <w:r w:rsidRPr="00E70467">
        <w:t>First, because the evidence in support of these criticisms was less than compelling. There was no expert evidence filed in support. In this regard I accept Ms Abram KC</w:t>
      </w:r>
      <w:r w:rsidR="004E0516">
        <w:t>’</w:t>
      </w:r>
      <w:r w:rsidRPr="00E70467">
        <w:t>s point, founded on </w:t>
      </w:r>
      <w:r w:rsidRPr="00E70467">
        <w:rPr>
          <w:i/>
          <w:iCs/>
        </w:rPr>
        <w:t>Altimo Holdings v Kyrgyz Mobil </w:t>
      </w:r>
      <w:r w:rsidRPr="00E70467">
        <w:t>[2011] UKPC 7 at [93]-[98] that any allegation of bias or procedural unfairness needs to be made in crystal clear terms and be supported by cogent evidence.</w:t>
      </w:r>
    </w:p>
    <w:p w14:paraId="3EE438D6" w14:textId="316EEF82" w:rsidR="00E70467" w:rsidRPr="00E70467" w:rsidRDefault="00E70467" w:rsidP="004563C6">
      <w:pPr>
        <w:pStyle w:val="Quote"/>
        <w:ind w:left="2211" w:hanging="737"/>
      </w:pPr>
      <w:r w:rsidRPr="00E70467">
        <w:t xml:space="preserve">ii) </w:t>
      </w:r>
      <w:r w:rsidR="004E0516">
        <w:tab/>
      </w:r>
      <w:r w:rsidRPr="00E70467">
        <w:t>Second, if I was forced to assess these criticisms based on the inadequate evidence base, I would be likely to reject them or place no weight on them.</w:t>
      </w:r>
    </w:p>
    <w:p w14:paraId="5465490D" w14:textId="07E72D64" w:rsidR="00E70467" w:rsidRPr="00E70467" w:rsidRDefault="00E70467" w:rsidP="004563C6">
      <w:pPr>
        <w:pStyle w:val="Quote"/>
        <w:ind w:left="2211" w:hanging="737"/>
      </w:pPr>
      <w:r w:rsidRPr="00E70467">
        <w:t xml:space="preserve">iii) </w:t>
      </w:r>
      <w:r w:rsidR="004E0516">
        <w:tab/>
      </w:r>
      <w:r w:rsidRPr="00E70467">
        <w:t>Third, even if appropriate expert evidence had been filed as to the current practice of the Chinese courts, I have my doubts whether accurate predictions could be made as to how the Chinese courts might develop their law and procedures in the future.</w:t>
      </w:r>
    </w:p>
    <w:p w14:paraId="4CB0535C" w14:textId="4AC4FCAA" w:rsidR="00E70467" w:rsidRPr="00E70467" w:rsidRDefault="00E70467" w:rsidP="004563C6">
      <w:pPr>
        <w:pStyle w:val="Quote"/>
        <w:ind w:left="2211" w:hanging="737"/>
      </w:pPr>
      <w:r w:rsidRPr="00E70467">
        <w:t xml:space="preserve">iv) </w:t>
      </w:r>
      <w:r w:rsidR="004E0516">
        <w:tab/>
      </w:r>
      <w:r w:rsidRPr="00E70467">
        <w:t>Fourth, I acknowledge the point made by Arnold LJ in </w:t>
      </w:r>
      <w:r w:rsidRPr="00E70467">
        <w:rPr>
          <w:i/>
          <w:iCs/>
        </w:rPr>
        <w:t>Nokia CA </w:t>
      </w:r>
      <w:r w:rsidRPr="00E70467">
        <w:t>at [79] regarding the significance of the Chinese Courts applying Chinese law and not French law to the interpretation of the ETSI terms, but I had no evidence to indicate the significance, if any, of that point.</w:t>
      </w:r>
    </w:p>
    <w:p w14:paraId="237ACFE2" w14:textId="10B32E1B" w:rsidR="00E70467" w:rsidRPr="00E70467" w:rsidRDefault="00E70467" w:rsidP="004563C6">
      <w:pPr>
        <w:pStyle w:val="Quote"/>
        <w:ind w:left="2211" w:hanging="737"/>
      </w:pPr>
      <w:r w:rsidRPr="00E70467">
        <w:t xml:space="preserve">v) </w:t>
      </w:r>
      <w:r w:rsidR="00B11AB6">
        <w:tab/>
      </w:r>
      <w:r w:rsidRPr="00E70467">
        <w:t>Fifth, what the Chinese courts do or don</w:t>
      </w:r>
      <w:r w:rsidR="004E0516">
        <w:t>’</w:t>
      </w:r>
      <w:r w:rsidRPr="00E70467">
        <w:t>t do in the action brought by ZTE against Samsung in Chongqing is a matter entirely for them.</w:t>
      </w:r>
      <w:r w:rsidR="004E0516">
        <w:t xml:space="preserve"> …</w:t>
      </w:r>
    </w:p>
    <w:p w14:paraId="268DA7C7" w14:textId="77777777" w:rsidR="004E0516" w:rsidRDefault="00E70467" w:rsidP="004563C6">
      <w:pPr>
        <w:pStyle w:val="Quote"/>
        <w:ind w:left="2211" w:hanging="737"/>
      </w:pPr>
      <w:r w:rsidRPr="00E70467">
        <w:t xml:space="preserve">vi) </w:t>
      </w:r>
      <w:r w:rsidR="00B11AB6">
        <w:tab/>
      </w:r>
      <w:r w:rsidRPr="00E70467">
        <w:t>Sixth, because although it is apparent that Samsung felt the need to argue these points, I do not find any of them necessary for a decision on Samsung's application. I suspect that, on reflection, Samsung will accept that these points should not have been raised.</w:t>
      </w:r>
    </w:p>
    <w:p w14:paraId="21829202" w14:textId="69528717" w:rsidR="00614449" w:rsidRDefault="004E0516" w:rsidP="004563C6">
      <w:pPr>
        <w:pStyle w:val="Quote"/>
        <w:ind w:left="2211" w:hanging="737"/>
      </w:pPr>
      <w:r>
        <w:t>….</w:t>
      </w:r>
      <w:r w:rsidR="00614449">
        <w:t>”</w:t>
      </w:r>
    </w:p>
    <w:p w14:paraId="15864AFD" w14:textId="13057E7A" w:rsidR="009A46B1" w:rsidRDefault="00363698" w:rsidP="004563C6">
      <w:pPr>
        <w:pStyle w:val="ParaLevel1"/>
      </w:pPr>
      <w:r>
        <w:t>T</w:t>
      </w:r>
      <w:r w:rsidR="000D2A92" w:rsidRPr="000D2A92">
        <w:t>he judge</w:t>
      </w:r>
      <w:r>
        <w:t xml:space="preserve"> considered </w:t>
      </w:r>
      <w:r w:rsidR="00E546CF">
        <w:t xml:space="preserve">the issues of whether </w:t>
      </w:r>
      <w:r w:rsidR="00E546CF" w:rsidRPr="00E546CF">
        <w:t xml:space="preserve">ZTE </w:t>
      </w:r>
      <w:r w:rsidR="00E546CF">
        <w:t xml:space="preserve">are in breach of their </w:t>
      </w:r>
      <w:r w:rsidR="00DF01E0">
        <w:t xml:space="preserve">obligation to negotiate </w:t>
      </w:r>
      <w:r w:rsidR="00DF01E0" w:rsidRPr="00DF01E0">
        <w:t>FRAND</w:t>
      </w:r>
      <w:r w:rsidR="00DF01E0">
        <w:t xml:space="preserve"> terms with </w:t>
      </w:r>
      <w:r w:rsidR="00DF01E0" w:rsidRPr="00DF01E0">
        <w:t>Samsung</w:t>
      </w:r>
      <w:r w:rsidR="00DF01E0">
        <w:t xml:space="preserve"> in good faith and what terms for an interim licence would be </w:t>
      </w:r>
      <w:r w:rsidR="00DF01E0" w:rsidRPr="00DF01E0">
        <w:t xml:space="preserve">FRAND </w:t>
      </w:r>
      <w:r w:rsidR="00F6011E">
        <w:t>toget</w:t>
      </w:r>
      <w:r w:rsidR="007B53CA">
        <w:t>her at [93]-</w:t>
      </w:r>
      <w:r w:rsidR="00254D13">
        <w:t>[134].</w:t>
      </w:r>
      <w:r w:rsidR="00325F69">
        <w:t xml:space="preserve"> </w:t>
      </w:r>
      <w:r w:rsidR="00396626">
        <w:t xml:space="preserve">At [99] he </w:t>
      </w:r>
      <w:r w:rsidR="00CC5631">
        <w:t>posed</w:t>
      </w:r>
      <w:r w:rsidR="00396626">
        <w:t xml:space="preserve"> th</w:t>
      </w:r>
      <w:r w:rsidR="00A77676">
        <w:t>is</w:t>
      </w:r>
      <w:r w:rsidR="00396626">
        <w:t xml:space="preserve"> question: </w:t>
      </w:r>
    </w:p>
    <w:p w14:paraId="7CE78B49" w14:textId="0F6BC8E1" w:rsidR="00E3478F" w:rsidRDefault="00396626" w:rsidP="004563C6">
      <w:pPr>
        <w:pStyle w:val="Quote"/>
      </w:pPr>
      <w:r>
        <w:t>“</w:t>
      </w:r>
      <w:bookmarkStart w:id="13" w:name="para99"/>
      <w:r w:rsidR="009B37FA" w:rsidRPr="00A77676">
        <w:t>what is the point of ZTE pursuing the Brazilian, German, UPC and Hangzhou proceedings and attempting to exclude Samsung</w:t>
      </w:r>
      <w:r w:rsidR="00F51870">
        <w:t>’</w:t>
      </w:r>
      <w:r w:rsidR="009B37FA" w:rsidRPr="00A77676">
        <w:t>s products from those commercially important markets, with all the massive attendant effort and expense for both parties?</w:t>
      </w:r>
      <w:bookmarkEnd w:id="13"/>
      <w:r w:rsidR="009B37FA">
        <w:t>”</w:t>
      </w:r>
    </w:p>
    <w:p w14:paraId="337143B1" w14:textId="2739DA9F" w:rsidR="008E2D2A" w:rsidRDefault="00A77676" w:rsidP="004563C6">
      <w:pPr>
        <w:pStyle w:val="ParaLevel1"/>
      </w:pPr>
      <w:r>
        <w:t>T</w:t>
      </w:r>
      <w:r w:rsidRPr="00A77676">
        <w:t>he judge</w:t>
      </w:r>
      <w:r w:rsidR="00E80E8A">
        <w:t xml:space="preserve"> noted at [100] that </w:t>
      </w:r>
      <w:r w:rsidR="007639AA">
        <w:t xml:space="preserve">the evidence of </w:t>
      </w:r>
      <w:r w:rsidR="007639AA" w:rsidRPr="007639AA">
        <w:t>ZTE</w:t>
      </w:r>
      <w:r w:rsidR="007639AA">
        <w:t>’s solicitor Dr Ari Laak</w:t>
      </w:r>
      <w:r w:rsidR="00F22FEF">
        <w:t>k</w:t>
      </w:r>
      <w:r w:rsidR="007639AA">
        <w:t xml:space="preserve">onen was </w:t>
      </w:r>
      <w:r w:rsidR="00696AD3">
        <w:t xml:space="preserve">to the effect </w:t>
      </w:r>
      <w:r w:rsidR="007639AA">
        <w:t xml:space="preserve">that </w:t>
      </w:r>
      <w:r w:rsidR="00EE032D">
        <w:t>“</w:t>
      </w:r>
      <w:r w:rsidR="007639AA">
        <w:t>i</w:t>
      </w:r>
      <w:r w:rsidR="00EE032D">
        <w:t xml:space="preserve">t was </w:t>
      </w:r>
      <w:r w:rsidR="00EE032D" w:rsidRPr="00EE032D">
        <w:t>ZTE</w:t>
      </w:r>
      <w:r w:rsidR="00EE032D">
        <w:t>’s</w:t>
      </w:r>
      <w:bookmarkStart w:id="14" w:name="para100"/>
      <w:r w:rsidR="008F345E" w:rsidRPr="008F345E">
        <w:rPr>
          <w:color w:val="000000"/>
          <w:sz w:val="27"/>
          <w:szCs w:val="27"/>
        </w:rPr>
        <w:t xml:space="preserve"> </w:t>
      </w:r>
      <w:r w:rsidR="008F345E" w:rsidRPr="008F345E">
        <w:t>aim to try to force Samsung into accepting that global FRAND terms would be decided in Chongqing, the threat being that if Samsung did not agree, it faced possible injunctive relief excluding them from major markets.</w:t>
      </w:r>
      <w:r w:rsidR="008F345E">
        <w:t xml:space="preserve">” </w:t>
      </w:r>
    </w:p>
    <w:p w14:paraId="60D2F1F2" w14:textId="1A9F83AD" w:rsidR="00910121" w:rsidRDefault="00910121" w:rsidP="004563C6">
      <w:pPr>
        <w:pStyle w:val="ParaLevel1"/>
      </w:pPr>
      <w:r>
        <w:t xml:space="preserve">The judge acknowledged at [102] that a similar question could be </w:t>
      </w:r>
      <w:r w:rsidR="00C8537E">
        <w:t xml:space="preserve">posed to </w:t>
      </w:r>
      <w:r w:rsidR="00C8537E" w:rsidRPr="00C8537E">
        <w:t>Samsung</w:t>
      </w:r>
      <w:r w:rsidR="00C8537E">
        <w:t xml:space="preserve"> regarding the infringement proceedings they had commenced</w:t>
      </w:r>
      <w:r w:rsidR="00B871C4">
        <w:t xml:space="preserve">, but he considered that it was clear that </w:t>
      </w:r>
      <w:r w:rsidR="007D197A">
        <w:t>Samsung w</w:t>
      </w:r>
      <w:r w:rsidR="00992B83">
        <w:t>ere</w:t>
      </w:r>
      <w:r w:rsidR="007D197A">
        <w:t xml:space="preserve"> simply responding in kind to </w:t>
      </w:r>
      <w:r w:rsidR="007D197A" w:rsidRPr="007D197A">
        <w:t>ZTE</w:t>
      </w:r>
      <w:r w:rsidR="007D197A">
        <w:t xml:space="preserve">’s </w:t>
      </w:r>
      <w:r w:rsidR="00646259">
        <w:t>claims.</w:t>
      </w:r>
      <w:r w:rsidR="007D197A">
        <w:t xml:space="preserve"> </w:t>
      </w:r>
    </w:p>
    <w:p w14:paraId="608FC27F" w14:textId="739CC8DE" w:rsidR="002E6F8F" w:rsidRDefault="00654383" w:rsidP="004563C6">
      <w:pPr>
        <w:pStyle w:val="ParaLevel1"/>
      </w:pPr>
      <w:r>
        <w:t>T</w:t>
      </w:r>
      <w:r w:rsidRPr="00654383">
        <w:t xml:space="preserve">he judge </w:t>
      </w:r>
      <w:r w:rsidR="00674B9E">
        <w:t>went on:</w:t>
      </w:r>
    </w:p>
    <w:p w14:paraId="7E9E79C2" w14:textId="17D7200F" w:rsidR="00A46E36" w:rsidRPr="00A46E36" w:rsidRDefault="002E6F8F" w:rsidP="004563C6">
      <w:pPr>
        <w:pStyle w:val="Quote"/>
        <w:ind w:left="1474" w:hanging="737"/>
      </w:pPr>
      <w:r>
        <w:t>“</w:t>
      </w:r>
      <w:r w:rsidR="00B7095F">
        <w:t>104.</w:t>
      </w:r>
      <w:r w:rsidR="00B7095F">
        <w:tab/>
      </w:r>
      <w:bookmarkStart w:id="15" w:name="para104"/>
      <w:bookmarkEnd w:id="14"/>
      <w:r w:rsidR="009A2D24">
        <w:t>…</w:t>
      </w:r>
      <w:r w:rsidR="00A46E36" w:rsidRPr="00A46E36">
        <w:t xml:space="preserve"> It is perfectly possible that ZTE had several aims in mind in seeking injunctive relief in various markets: (a) to put pressure on Samsung to agree to Chongqing as the forum for determination of global FRAND terms; and (b) to put pressure on Samsung to agree to supra-FRAND rates. I acknowledge that the offers put forward by ZTE do place the emphasis on the first aim because the price for Samsung of avoiding injunctive relief was acceptance of Chongqing. For the purposes of analysis I will proceed on the basis that the aim was the first, as stated by Dr Laakkonen.</w:t>
      </w:r>
      <w:bookmarkEnd w:id="15"/>
    </w:p>
    <w:p w14:paraId="20B2117F" w14:textId="7F41F1A5" w:rsidR="00A46E36" w:rsidRPr="00A46E36" w:rsidRDefault="00B7095F" w:rsidP="004563C6">
      <w:pPr>
        <w:pStyle w:val="Quote"/>
        <w:ind w:left="1474" w:hanging="737"/>
      </w:pPr>
      <w:bookmarkStart w:id="16" w:name="para105"/>
      <w:r>
        <w:t>105.</w:t>
      </w:r>
      <w:r>
        <w:tab/>
      </w:r>
      <w:r w:rsidR="00A46E36" w:rsidRPr="00A46E36">
        <w:t>However, that aim gives rise to a slightly different but equally obvious question: </w:t>
      </w:r>
      <w:r w:rsidR="00A46E36" w:rsidRPr="00A46E36">
        <w:rPr>
          <w:i/>
          <w:iCs/>
        </w:rPr>
        <w:t>why are ZTE spending so much effort and cost on insisting that the global FRAND terms are determined in Chongqing</w:t>
      </w:r>
      <w:r w:rsidR="00A46E36" w:rsidRPr="00A46E36">
        <w:t>? As I have indicated, I proceed on this application without taking into account Samsung</w:t>
      </w:r>
      <w:r w:rsidR="00D10D0E">
        <w:t>’</w:t>
      </w:r>
      <w:r w:rsidR="00A46E36" w:rsidRPr="00A46E36">
        <w:t>s criticisms of the Chinese approach to FRAND or of the Chinese courts. But the answer can only be that ZTE perceive an advantage, an advantage which must be a substantial one in view of the cost and effort devoted to achieving this aim.</w:t>
      </w:r>
      <w:bookmarkEnd w:id="16"/>
    </w:p>
    <w:p w14:paraId="6A55FF17" w14:textId="6B9C7BE1" w:rsidR="00A46E36" w:rsidRPr="00A46E36" w:rsidRDefault="004A2472" w:rsidP="004563C6">
      <w:pPr>
        <w:pStyle w:val="Quote"/>
        <w:ind w:left="1474" w:hanging="737"/>
      </w:pPr>
      <w:bookmarkStart w:id="17" w:name="para106"/>
      <w:r>
        <w:t>106.</w:t>
      </w:r>
      <w:r>
        <w:tab/>
      </w:r>
      <w:r w:rsidR="00A46E36" w:rsidRPr="00A46E36">
        <w:t>In her oral submissions, Ms Abram submitted that there were so many reasons why parties want to litigate in their home court:</w:t>
      </w:r>
      <w:bookmarkEnd w:id="17"/>
    </w:p>
    <w:p w14:paraId="0027F9EA" w14:textId="629FE4C5" w:rsidR="00A46E36" w:rsidRPr="00A46E36" w:rsidRDefault="00DF7AA8" w:rsidP="004563C6">
      <w:pPr>
        <w:pStyle w:val="Quote"/>
        <w:ind w:left="2211"/>
      </w:pPr>
      <w:r>
        <w:t>‘</w:t>
      </w:r>
      <w:r w:rsidR="00A46E36" w:rsidRPr="00A46E36">
        <w:t>Parties want to litigate where they do business because they are familiar with the legal system, because they are familiar with court procedures, because the language of the litigation is familiar to them, because of the location of documents or witnesses, because of the desire not to lose management time through travel, because of relative legal costs in China compared to England.</w:t>
      </w:r>
      <w:r>
        <w:t>’</w:t>
      </w:r>
    </w:p>
    <w:p w14:paraId="18AB3058" w14:textId="2E0C1B61" w:rsidR="00A46E36" w:rsidRPr="00A46E36" w:rsidRDefault="004A2472" w:rsidP="004563C6">
      <w:pPr>
        <w:pStyle w:val="Quote"/>
        <w:ind w:left="1474" w:hanging="737"/>
      </w:pPr>
      <w:bookmarkStart w:id="18" w:name="para107"/>
      <w:r>
        <w:t>107.</w:t>
      </w:r>
      <w:r>
        <w:tab/>
      </w:r>
      <w:r w:rsidR="00A46E36" w:rsidRPr="00A46E36">
        <w:t>I did not recall these reasons being covered in the evidence for this application, so I asked where they were set out in the evidence. I was given the reference to Laakkonen 1, [26]. This witness statement was made in ZTE</w:t>
      </w:r>
      <w:r w:rsidR="00DF7AA8">
        <w:t>’</w:t>
      </w:r>
      <w:r w:rsidR="00A46E36" w:rsidRPr="00A46E36">
        <w:t>s opposition to Samsung</w:t>
      </w:r>
      <w:r w:rsidR="00DF7AA8">
        <w:t>’</w:t>
      </w:r>
      <w:r w:rsidR="00A46E36" w:rsidRPr="00A46E36">
        <w:t>s Listing Application. Although in the bundles, it did not form part of my pre-reading for this application.</w:t>
      </w:r>
      <w:bookmarkEnd w:id="18"/>
    </w:p>
    <w:p w14:paraId="7A6A6B7F" w14:textId="0B24DBA7" w:rsidR="00A46E36" w:rsidRPr="00A46E36" w:rsidRDefault="004A2472" w:rsidP="004563C6">
      <w:pPr>
        <w:pStyle w:val="Quote"/>
        <w:ind w:left="1474" w:hanging="737"/>
      </w:pPr>
      <w:bookmarkStart w:id="19" w:name="para108"/>
      <w:r>
        <w:t>108.</w:t>
      </w:r>
      <w:r>
        <w:tab/>
      </w:r>
      <w:r w:rsidR="00A46E36" w:rsidRPr="00A46E36">
        <w:t>In his first witness statement at [26], Dr Laakkonen set out 4 factors for ZTE</w:t>
      </w:r>
      <w:r w:rsidR="00DF7AA8">
        <w:t>’</w:t>
      </w:r>
      <w:r w:rsidR="00A46E36" w:rsidRPr="00A46E36">
        <w:t>s preference for a FRAND determination in Chongqing. In summary, these are:</w:t>
      </w:r>
      <w:bookmarkEnd w:id="19"/>
    </w:p>
    <w:p w14:paraId="5FAAD2F0" w14:textId="57FDC5B6" w:rsidR="00A46E36" w:rsidRPr="00A46E36" w:rsidRDefault="00A46E36" w:rsidP="004563C6">
      <w:pPr>
        <w:pStyle w:val="Quote"/>
        <w:ind w:left="2211" w:hanging="737"/>
      </w:pPr>
      <w:r w:rsidRPr="00A46E36">
        <w:t xml:space="preserve">i) </w:t>
      </w:r>
      <w:r w:rsidR="004A2472">
        <w:tab/>
      </w:r>
      <w:r w:rsidRPr="00A46E36">
        <w:t>China is a major manufacturing and sales market for both parties, but especially ZTE.</w:t>
      </w:r>
    </w:p>
    <w:p w14:paraId="376B3181" w14:textId="3D96C8C9" w:rsidR="00A46E36" w:rsidRPr="00A46E36" w:rsidRDefault="00A46E36" w:rsidP="004563C6">
      <w:pPr>
        <w:pStyle w:val="Quote"/>
        <w:ind w:left="2211" w:hanging="737"/>
      </w:pPr>
      <w:r w:rsidRPr="00A46E36">
        <w:t xml:space="preserve">ii) </w:t>
      </w:r>
      <w:r w:rsidR="004A2472">
        <w:tab/>
      </w:r>
      <w:r w:rsidRPr="00A46E36">
        <w:t>Both parties have significant patent portfolios in China.</w:t>
      </w:r>
    </w:p>
    <w:p w14:paraId="2657066B" w14:textId="5CA18F8C" w:rsidR="00A46E36" w:rsidRPr="00A46E36" w:rsidRDefault="00A46E36" w:rsidP="004563C6">
      <w:pPr>
        <w:pStyle w:val="Quote"/>
        <w:ind w:left="2211" w:hanging="737"/>
      </w:pPr>
      <w:r w:rsidRPr="00A46E36">
        <w:t xml:space="preserve">iii) </w:t>
      </w:r>
      <w:r w:rsidR="004A2472">
        <w:tab/>
      </w:r>
      <w:r w:rsidRPr="00A46E36">
        <w:t>Chinese courts (including in Chongqing) have substantial experience in rate-setting litigation.</w:t>
      </w:r>
    </w:p>
    <w:p w14:paraId="739E0791" w14:textId="3D0CE778" w:rsidR="00A46E36" w:rsidRPr="00A46E36" w:rsidRDefault="00A46E36" w:rsidP="004563C6">
      <w:pPr>
        <w:pStyle w:val="Quote"/>
        <w:ind w:left="2211" w:hanging="737"/>
      </w:pPr>
      <w:r w:rsidRPr="00A46E36">
        <w:t xml:space="preserve">iv) </w:t>
      </w:r>
      <w:r w:rsidR="004A2472">
        <w:tab/>
      </w:r>
      <w:r w:rsidRPr="00A46E36">
        <w:t>The cost of litigation in China is substantially lower than the cost of FRAND litigation in the UK.</w:t>
      </w:r>
    </w:p>
    <w:p w14:paraId="10953792" w14:textId="4801ED43" w:rsidR="00A46E36" w:rsidRPr="00A46E36" w:rsidRDefault="004A2472" w:rsidP="004563C6">
      <w:pPr>
        <w:pStyle w:val="Quote"/>
        <w:ind w:left="1474" w:hanging="737"/>
      </w:pPr>
      <w:bookmarkStart w:id="20" w:name="para109"/>
      <w:r>
        <w:t>109.</w:t>
      </w:r>
      <w:r>
        <w:tab/>
      </w:r>
      <w:r w:rsidR="00A46E36" w:rsidRPr="00A46E36">
        <w:t>I make these observations:</w:t>
      </w:r>
      <w:bookmarkEnd w:id="20"/>
    </w:p>
    <w:p w14:paraId="4781931C" w14:textId="42764DAE" w:rsidR="00A46E36" w:rsidRPr="00A46E36" w:rsidRDefault="00A46E36" w:rsidP="004563C6">
      <w:pPr>
        <w:pStyle w:val="Quote"/>
        <w:ind w:left="2211" w:hanging="737"/>
      </w:pPr>
      <w:r w:rsidRPr="00A46E36">
        <w:t xml:space="preserve">i) </w:t>
      </w:r>
      <w:r w:rsidR="00DF7AA8">
        <w:tab/>
      </w:r>
      <w:r w:rsidRPr="00A46E36">
        <w:t>First, if these reasons (both sets) were the real answer to the question I posed above, I would have expected them to have been set out in the evidence on this application. After all, the parties did not skimp on the preparation of evidence.</w:t>
      </w:r>
    </w:p>
    <w:p w14:paraId="50F5866B" w14:textId="4F8EDB1C" w:rsidR="00A46E36" w:rsidRPr="00A46E36" w:rsidRDefault="00A46E36" w:rsidP="004563C6">
      <w:pPr>
        <w:pStyle w:val="Quote"/>
        <w:ind w:left="2211" w:hanging="737"/>
      </w:pPr>
      <w:r w:rsidRPr="00A46E36">
        <w:t xml:space="preserve">ii) </w:t>
      </w:r>
      <w:r w:rsidR="00DF7AA8">
        <w:tab/>
      </w:r>
      <w:r w:rsidRPr="00A46E36">
        <w:t>Second, the fact that a number of the points submitted by Ms Abram were not in any evidence suggests they were a bit of an afterthought, even though in some ways they are obvious.</w:t>
      </w:r>
    </w:p>
    <w:p w14:paraId="3554F9C2" w14:textId="2E71D655" w:rsidR="009A46B1" w:rsidRDefault="00A46E36" w:rsidP="004563C6">
      <w:pPr>
        <w:pStyle w:val="Quote"/>
        <w:ind w:left="2211" w:hanging="737"/>
      </w:pPr>
      <w:r w:rsidRPr="00A46E36">
        <w:t xml:space="preserve">iii) </w:t>
      </w:r>
      <w:r w:rsidR="00DF7AA8">
        <w:tab/>
      </w:r>
      <w:r w:rsidRPr="00A46E36">
        <w:t>Third, in any event, whilst these reasons (both sets) would support a preference for Chongqing, </w:t>
      </w:r>
      <w:r w:rsidRPr="00A46E36">
        <w:rPr>
          <w:u w:val="single"/>
        </w:rPr>
        <w:t>given a free choice</w:t>
      </w:r>
      <w:r w:rsidRPr="00A46E36">
        <w:t>, I find them insubstantial in the present circumstances. They would matter if ZTE were an SME but they do not, in my view, provide a justification for the wave of litigation which ZTE set in motion, with all the attendant effort and expense, let alone for the costs which ZTE have incurred in fighting tooth and nail on this application.</w:t>
      </w:r>
      <w:r w:rsidR="002E6F8F">
        <w:t>”</w:t>
      </w:r>
    </w:p>
    <w:p w14:paraId="20FCDD7B" w14:textId="4F58CD0A" w:rsidR="00246926" w:rsidRDefault="00876CC4" w:rsidP="004563C6">
      <w:pPr>
        <w:pStyle w:val="ParaLevel1"/>
      </w:pPr>
      <w:r>
        <w:t xml:space="preserve">The judge </w:t>
      </w:r>
      <w:r w:rsidR="004E0516">
        <w:t xml:space="preserve">considered the question of jurisdictional preference at </w:t>
      </w:r>
      <w:r w:rsidR="0002061A">
        <w:t>[110]-</w:t>
      </w:r>
      <w:r w:rsidR="00E40EC9">
        <w:t xml:space="preserve">[122]. In this context he discussed </w:t>
      </w:r>
      <w:r w:rsidR="0004611C">
        <w:t xml:space="preserve">a passage from my judgment in </w:t>
      </w:r>
      <w:r w:rsidR="0004611C" w:rsidRPr="0004611C">
        <w:rPr>
          <w:i/>
          <w:iCs/>
        </w:rPr>
        <w:t>Lenovo v Ericsson</w:t>
      </w:r>
      <w:r w:rsidR="0004611C">
        <w:t xml:space="preserve"> at [</w:t>
      </w:r>
      <w:r w:rsidR="00DE5B80">
        <w:t xml:space="preserve">152]-[155], and in particular </w:t>
      </w:r>
      <w:r w:rsidR="00246926">
        <w:t>[153]:</w:t>
      </w:r>
    </w:p>
    <w:p w14:paraId="680C1712" w14:textId="3041AFD6" w:rsidR="006E189E" w:rsidRDefault="00246926" w:rsidP="004563C6">
      <w:pPr>
        <w:pStyle w:val="Quote"/>
      </w:pPr>
      <w:r>
        <w:t>“</w:t>
      </w:r>
      <w:r w:rsidR="004A3B3D" w:rsidRPr="004A3B3D">
        <w:t xml:space="preserve">In the absence of a global dispute mechanism for determining FRAND disputes, or an </w:t>
      </w:r>
      <w:r w:rsidR="004A3B3D" w:rsidRPr="00E751D3">
        <w:rPr>
          <w:i/>
          <w:iCs/>
        </w:rPr>
        <w:t>ad hoc</w:t>
      </w:r>
      <w:r w:rsidR="004A3B3D" w:rsidRPr="004A3B3D">
        <w:t xml:space="preserve"> agreement to arbitration, the possibility of jurisdictional conflict is inescapable. </w:t>
      </w:r>
      <w:r w:rsidR="00AD1370">
        <w:t>…</w:t>
      </w:r>
      <w:r w:rsidR="004A3B3D" w:rsidRPr="004A3B3D">
        <w:t> the principled answer to this might be that the court first seised should determine what terms are FRAND. </w:t>
      </w:r>
      <w:r w:rsidR="00DB6912" w:rsidRPr="00DB6912">
        <w:t>In the present case, however, it is plain that Ericsson do not want the EDNC to determine FRAND terms for the cross-licence any more than they want the English courts to do so.</w:t>
      </w:r>
      <w:r w:rsidR="00ED0099">
        <w:t xml:space="preserve"> …</w:t>
      </w:r>
      <w:r w:rsidR="00876CC4">
        <w:t xml:space="preserve"> </w:t>
      </w:r>
      <w:r w:rsidR="00ED0099" w:rsidRPr="00ED0099">
        <w:t>Ericsson</w:t>
      </w:r>
      <w:r w:rsidR="00ED0099">
        <w:t>’</w:t>
      </w:r>
      <w:r w:rsidR="00ED0099" w:rsidRPr="00ED0099">
        <w:t>s stance is not driven by jurisdictional preference with respect to FRAND determination. It is driven by a preference for the exclusionary power of a national injunction (or equivalent relief) over FRAND determination by </w:t>
      </w:r>
      <w:r w:rsidR="00ED0099" w:rsidRPr="00ED0099">
        <w:rPr>
          <w:i/>
          <w:iCs/>
        </w:rPr>
        <w:t>any</w:t>
      </w:r>
      <w:r w:rsidR="00ED0099" w:rsidRPr="00ED0099">
        <w:t> court. This is hold up.</w:t>
      </w:r>
      <w:r>
        <w:t>”</w:t>
      </w:r>
    </w:p>
    <w:p w14:paraId="5C0E6C6D" w14:textId="3727EEA8" w:rsidR="00ED0099" w:rsidRDefault="002169CD" w:rsidP="004563C6">
      <w:pPr>
        <w:pStyle w:val="ParaLevel1"/>
      </w:pPr>
      <w:r>
        <w:t xml:space="preserve">The judge </w:t>
      </w:r>
      <w:r w:rsidR="00C6756F">
        <w:t>reasoned</w:t>
      </w:r>
      <w:r w:rsidR="002159BD">
        <w:t xml:space="preserve"> </w:t>
      </w:r>
      <w:r w:rsidR="00403E6D">
        <w:t>as follows:</w:t>
      </w:r>
    </w:p>
    <w:p w14:paraId="1545FB6A" w14:textId="1A63D73B" w:rsidR="006F6ECA" w:rsidRPr="006F6ECA" w:rsidRDefault="00403E6D" w:rsidP="004563C6">
      <w:pPr>
        <w:pStyle w:val="Quote"/>
        <w:ind w:left="1474" w:hanging="737"/>
      </w:pPr>
      <w:r>
        <w:t>“</w:t>
      </w:r>
      <w:bookmarkStart w:id="21" w:name="para117"/>
      <w:r w:rsidR="006075EC">
        <w:t>117.</w:t>
      </w:r>
      <w:r w:rsidR="006075EC">
        <w:tab/>
        <w:t>…</w:t>
      </w:r>
      <w:r w:rsidR="006F6ECA" w:rsidRPr="006F6ECA">
        <w:t xml:space="preserve"> In my view, </w:t>
      </w:r>
      <w:r w:rsidR="006075EC">
        <w:t>[</w:t>
      </w:r>
      <w:r w:rsidR="006075EC" w:rsidRPr="006075EC">
        <w:t>ZTE</w:t>
      </w:r>
      <w:r w:rsidR="006075EC">
        <w:t>’</w:t>
      </w:r>
      <w:r w:rsidR="006075EC" w:rsidRPr="006075EC">
        <w:t>s argument on jurisdictional preference</w:t>
      </w:r>
      <w:r w:rsidR="006075EC">
        <w:t>]</w:t>
      </w:r>
      <w:r w:rsidR="006F6ECA" w:rsidRPr="006F6ECA">
        <w:t xml:space="preserve"> is based on a misunderstanding of [153] of </w:t>
      </w:r>
      <w:r w:rsidR="006F6ECA" w:rsidRPr="006F6ECA">
        <w:rPr>
          <w:i/>
          <w:iCs/>
        </w:rPr>
        <w:t>Lenovo CA</w:t>
      </w:r>
      <w:r w:rsidR="006F6ECA" w:rsidRPr="006F6ECA">
        <w:t>. In that case, just because Ericsson was determined to avoid a FRAND determination by any court does not mean that it is good faith for a SEP licensor to use the exclusionary power of national injunctions to enforce its jurisdictional preference.</w:t>
      </w:r>
      <w:bookmarkEnd w:id="21"/>
    </w:p>
    <w:p w14:paraId="38CADADD" w14:textId="5E0B074A" w:rsidR="006F6ECA" w:rsidRPr="006F6ECA" w:rsidRDefault="00150A60" w:rsidP="004563C6">
      <w:pPr>
        <w:pStyle w:val="Quote"/>
        <w:ind w:left="1474" w:hanging="737"/>
      </w:pPr>
      <w:bookmarkStart w:id="22" w:name="para118"/>
      <w:r>
        <w:t>118.</w:t>
      </w:r>
      <w:r>
        <w:tab/>
      </w:r>
      <w:r w:rsidR="006F6ECA" w:rsidRPr="006F6ECA">
        <w:t xml:space="preserve">On the closely related topic of </w:t>
      </w:r>
      <w:r>
        <w:t>‘</w:t>
      </w:r>
      <w:r w:rsidR="006F6ECA" w:rsidRPr="006F6ECA">
        <w:t>first-seised</w:t>
      </w:r>
      <w:r>
        <w:t>’</w:t>
      </w:r>
      <w:r w:rsidR="006F6ECA" w:rsidRPr="006F6ECA">
        <w:t>, what I think was being indicated in [153] was that there was a principled basis for Ericsson to choose the EDNC forum for the determination of global FRAND terms because it was first seised of the dispute. If Ericsson had made that choice, then Lenovo</w:t>
      </w:r>
      <w:r>
        <w:t>’</w:t>
      </w:r>
      <w:r w:rsidR="006F6ECA" w:rsidRPr="006F6ECA">
        <w:t>s offer (to accept the EDNC</w:t>
      </w:r>
      <w:r w:rsidR="00F20A70">
        <w:t>’</w:t>
      </w:r>
      <w:r w:rsidR="006F6ECA" w:rsidRPr="006F6ECA">
        <w:t>s determination as to FRAND terms provided Ericsson dropped their campaign to obtain injunctions and equivalent relief) would have come into sharp focus, and it is difficult to see how Ericsson could have resisted abandoning their campaign without being branded an unwilling licensor.</w:t>
      </w:r>
      <w:bookmarkEnd w:id="22"/>
    </w:p>
    <w:p w14:paraId="77F8086C" w14:textId="70E55C7A" w:rsidR="00403E6D" w:rsidRPr="00ED0099" w:rsidRDefault="00150A60" w:rsidP="004563C6">
      <w:pPr>
        <w:pStyle w:val="Quote"/>
        <w:ind w:left="1474" w:hanging="737"/>
      </w:pPr>
      <w:bookmarkStart w:id="23" w:name="para119"/>
      <w:r>
        <w:t>119.</w:t>
      </w:r>
      <w:r>
        <w:tab/>
      </w:r>
      <w:r w:rsidR="006F6ECA" w:rsidRPr="006F6ECA">
        <w:t xml:space="preserve">I do not consider that Arnold LJ was suggesting that </w:t>
      </w:r>
      <w:r>
        <w:t>‘</w:t>
      </w:r>
      <w:r w:rsidR="006F6ECA" w:rsidRPr="006F6ECA">
        <w:t>first-seised</w:t>
      </w:r>
      <w:r>
        <w:t>’</w:t>
      </w:r>
      <w:r w:rsidR="006F6ECA" w:rsidRPr="006F6ECA">
        <w:t xml:space="preserve"> necessarily is a trump card in all situations, but it may be a tie-breaker in an appropriate case. In these paragraphs, Arnold LJ was explaining why, in the current situation in which ETSI does not mandate a global FRAND dispute mechanism, forum shopping (although to be deprecated) can be an inevitable feature of global FRAND disputes. Implicit in this is that someone has to choose a forum.</w:t>
      </w:r>
      <w:bookmarkEnd w:id="23"/>
      <w:r w:rsidR="00403E6D">
        <w:t>”</w:t>
      </w:r>
    </w:p>
    <w:p w14:paraId="5BE4E9B4" w14:textId="2189A12B" w:rsidR="00F12CEE" w:rsidRDefault="00F12CEE" w:rsidP="004563C6">
      <w:pPr>
        <w:pStyle w:val="ParaLevel1"/>
      </w:pPr>
      <w:r>
        <w:t xml:space="preserve">This led </w:t>
      </w:r>
      <w:r w:rsidRPr="00F12CEE">
        <w:t>the judge</w:t>
      </w:r>
      <w:r>
        <w:t xml:space="preserve"> to conclude as follows:</w:t>
      </w:r>
    </w:p>
    <w:p w14:paraId="624BB552" w14:textId="4E9A59E5" w:rsidR="009E3041" w:rsidRPr="00881490" w:rsidRDefault="00F12CEE" w:rsidP="004563C6">
      <w:pPr>
        <w:pStyle w:val="Quote"/>
        <w:ind w:left="1474" w:right="737" w:hanging="737"/>
        <w:rPr>
          <w:szCs w:val="24"/>
        </w:rPr>
      </w:pPr>
      <w:r w:rsidRPr="00881490">
        <w:rPr>
          <w:szCs w:val="24"/>
        </w:rPr>
        <w:t>“</w:t>
      </w:r>
      <w:bookmarkStart w:id="24" w:name="para127"/>
      <w:r w:rsidR="00257590">
        <w:rPr>
          <w:szCs w:val="24"/>
        </w:rPr>
        <w:t>127.</w:t>
      </w:r>
      <w:r w:rsidR="00257590">
        <w:rPr>
          <w:szCs w:val="24"/>
        </w:rPr>
        <w:tab/>
      </w:r>
      <w:r w:rsidR="009E3041" w:rsidRPr="00881490">
        <w:rPr>
          <w:szCs w:val="24"/>
        </w:rPr>
        <w:t>In my judgment, a willing licensor in the position of ZTE would have engaged with this action and proceeded as speedily as possible to the FRAND trial, in the absence of earlier agreement between the parties. In my view, a willing licensor would not commence a wave of injunctive proceedings, whatever the aim of the pressure which those proceedings would exert on the SEP licensee. The wave of injunctive proceedings commenced by ZTE were completely unnecessary since Samsung were and are actively seeking fresh global FRAND cross-licence terms, to replace the previous global cross-licensing terms which the parties abided by for several years. There is no suggestion that Samsung were operating other than as a willing licensee (and as a willing licensor).</w:t>
      </w:r>
      <w:bookmarkEnd w:id="24"/>
    </w:p>
    <w:p w14:paraId="0F1E1192" w14:textId="22975FBC" w:rsidR="00257590" w:rsidRDefault="00257590" w:rsidP="004563C6">
      <w:pPr>
        <w:spacing w:before="100" w:beforeAutospacing="1" w:after="100" w:afterAutospacing="1"/>
        <w:ind w:left="1474" w:right="737" w:hanging="737"/>
        <w:rPr>
          <w:color w:val="000000"/>
        </w:rPr>
      </w:pPr>
      <w:bookmarkStart w:id="25" w:name="para129"/>
      <w:r>
        <w:rPr>
          <w:color w:val="000000"/>
        </w:rPr>
        <w:t>…</w:t>
      </w:r>
    </w:p>
    <w:p w14:paraId="20724E51" w14:textId="3B93F9B5" w:rsidR="00433F50" w:rsidRPr="00881490" w:rsidRDefault="00257590" w:rsidP="004563C6">
      <w:pPr>
        <w:spacing w:before="100" w:beforeAutospacing="1" w:after="100" w:afterAutospacing="1"/>
        <w:ind w:left="1474" w:right="737" w:hanging="737"/>
        <w:jc w:val="both"/>
        <w:rPr>
          <w:color w:val="000000"/>
          <w:lang w:eastAsia="en-GB"/>
        </w:rPr>
      </w:pPr>
      <w:r>
        <w:rPr>
          <w:color w:val="000000"/>
        </w:rPr>
        <w:t>12</w:t>
      </w:r>
      <w:r w:rsidR="003D7214">
        <w:rPr>
          <w:color w:val="000000"/>
        </w:rPr>
        <w:t>9</w:t>
      </w:r>
      <w:r>
        <w:rPr>
          <w:color w:val="000000"/>
        </w:rPr>
        <w:t>.</w:t>
      </w:r>
      <w:r>
        <w:rPr>
          <w:color w:val="000000"/>
        </w:rPr>
        <w:tab/>
      </w:r>
      <w:r w:rsidR="00433F50" w:rsidRPr="00881490">
        <w:rPr>
          <w:color w:val="000000"/>
        </w:rPr>
        <w:t>Of course, from ZTE</w:t>
      </w:r>
      <w:r w:rsidR="008C597C">
        <w:rPr>
          <w:color w:val="000000"/>
        </w:rPr>
        <w:t>’</w:t>
      </w:r>
      <w:r w:rsidR="00433F50" w:rsidRPr="00881490">
        <w:rPr>
          <w:color w:val="000000"/>
        </w:rPr>
        <w:t>s standpoint, the wave of injunctive proceedings was necessary to fulfil a principal aim of ZTE: to force Samsung into accepting a global FRAND determination in Chongqing.</w:t>
      </w:r>
      <w:bookmarkEnd w:id="25"/>
    </w:p>
    <w:p w14:paraId="5C719C95" w14:textId="27B0E854" w:rsidR="00F12CEE" w:rsidRDefault="00257590" w:rsidP="004563C6">
      <w:pPr>
        <w:spacing w:before="100" w:beforeAutospacing="1" w:after="100" w:afterAutospacing="1"/>
        <w:ind w:left="1474" w:right="737" w:hanging="737"/>
        <w:jc w:val="both"/>
      </w:pPr>
      <w:bookmarkStart w:id="26" w:name="para130"/>
      <w:r>
        <w:rPr>
          <w:color w:val="000000"/>
        </w:rPr>
        <w:t>1</w:t>
      </w:r>
      <w:r w:rsidR="003D7214">
        <w:rPr>
          <w:color w:val="000000"/>
        </w:rPr>
        <w:t>30</w:t>
      </w:r>
      <w:r>
        <w:rPr>
          <w:color w:val="000000"/>
        </w:rPr>
        <w:t>.</w:t>
      </w:r>
      <w:r>
        <w:rPr>
          <w:color w:val="000000"/>
        </w:rPr>
        <w:tab/>
      </w:r>
      <w:r w:rsidR="00433F50" w:rsidRPr="00881490">
        <w:rPr>
          <w:color w:val="000000"/>
        </w:rPr>
        <w:t>Overall, and notwithstanding the manoeuvring by ZTE to narrow the gap between the two sides, the conclusion in my judgment is inescapable. ZTE have acted in bad faith with their wave of unnecessary injunctive proceedings, and by using the continuing threat imposed by them to seek to sideline or displace the jurisdiction of this Court and in seeking to secure their preference for a determination in Chongqing.</w:t>
      </w:r>
      <w:bookmarkEnd w:id="26"/>
      <w:r w:rsidR="00F12CEE">
        <w:t>”</w:t>
      </w:r>
    </w:p>
    <w:p w14:paraId="59A148D4" w14:textId="6534FB58" w:rsidR="004C36E0" w:rsidRPr="004C36E0" w:rsidRDefault="00DF01E0" w:rsidP="004563C6">
      <w:pPr>
        <w:pStyle w:val="ParaLevel1"/>
      </w:pPr>
      <w:r>
        <w:t>T</w:t>
      </w:r>
      <w:r w:rsidRPr="00DF01E0">
        <w:t>he judge</w:t>
      </w:r>
      <w:r>
        <w:t xml:space="preserve"> considered whether a declaration would serve a useful purpose</w:t>
      </w:r>
      <w:r w:rsidR="00B03CA5">
        <w:t xml:space="preserve"> at [135]-[139].</w:t>
      </w:r>
      <w:r w:rsidR="003D7214">
        <w:t xml:space="preserve"> He concluded that it would, because it would </w:t>
      </w:r>
      <w:r w:rsidR="00CA79D3">
        <w:t xml:space="preserve">“forc[e] </w:t>
      </w:r>
      <w:r w:rsidR="00CA79D3" w:rsidRPr="00CA79D3">
        <w:t>ZTE</w:t>
      </w:r>
      <w:r w:rsidR="00CA79D3">
        <w:t xml:space="preserve"> to reconsider th</w:t>
      </w:r>
      <w:r w:rsidR="00BD5288">
        <w:t>eir</w:t>
      </w:r>
      <w:r w:rsidR="00CA79D3">
        <w:t xml:space="preserve"> position”</w:t>
      </w:r>
      <w:r w:rsidR="00094539">
        <w:t xml:space="preserve">, and </w:t>
      </w:r>
      <w:r w:rsidR="004C36E0" w:rsidRPr="004C36E0">
        <w:t xml:space="preserve">he hoped that ZTE would “see the error of their ways”. </w:t>
      </w:r>
    </w:p>
    <w:p w14:paraId="46E2B695" w14:textId="675886A2" w:rsidR="00B03CA5" w:rsidRDefault="00B03CA5" w:rsidP="004563C6">
      <w:pPr>
        <w:pStyle w:val="ParaLevel1"/>
      </w:pPr>
      <w:r>
        <w:t>The judge considered the question of comity at [140]-</w:t>
      </w:r>
      <w:r w:rsidR="0074389E">
        <w:t>[161].</w:t>
      </w:r>
      <w:r w:rsidR="005F2697">
        <w:t xml:space="preserve"> In this context he stated at [144]:</w:t>
      </w:r>
    </w:p>
    <w:p w14:paraId="085AF775" w14:textId="4C90E186" w:rsidR="005F2697" w:rsidRDefault="005F2697" w:rsidP="004563C6">
      <w:pPr>
        <w:pStyle w:val="Quote"/>
      </w:pPr>
      <w:r>
        <w:t>“</w:t>
      </w:r>
      <w:bookmarkStart w:id="27" w:name="para144"/>
      <w:r w:rsidR="006D7A64">
        <w:t>…</w:t>
      </w:r>
      <w:r w:rsidR="006D7A64" w:rsidRPr="006D7A64">
        <w:t> I reiterate that I have rejected Samsung</w:t>
      </w:r>
      <w:r w:rsidR="006D7A64">
        <w:t>’</w:t>
      </w:r>
      <w:r w:rsidR="006D7A64" w:rsidRPr="006D7A64">
        <w:t>s arguments about the abilities of the Chinese Courts in this area and I have proceeded on the basis that the Chinese Courts are as well-equipped to engage in global FRAND rate-setting.</w:t>
      </w:r>
      <w:bookmarkEnd w:id="27"/>
      <w:r>
        <w:t>”</w:t>
      </w:r>
    </w:p>
    <w:p w14:paraId="740CAB62" w14:textId="18A31BC9" w:rsidR="005F2697" w:rsidRDefault="00DD6D61" w:rsidP="004563C6">
      <w:pPr>
        <w:pStyle w:val="ParaLevel1"/>
      </w:pPr>
      <w:r>
        <w:t>T</w:t>
      </w:r>
      <w:r w:rsidRPr="00DD6D61">
        <w:t>he judge</w:t>
      </w:r>
      <w:r>
        <w:t xml:space="preserve"> </w:t>
      </w:r>
      <w:r w:rsidR="00D61D0D">
        <w:t>reasoned as follows:</w:t>
      </w:r>
    </w:p>
    <w:p w14:paraId="1823DA51" w14:textId="6A329CF5" w:rsidR="003927BD" w:rsidRPr="003927BD" w:rsidRDefault="00D61D0D" w:rsidP="004563C6">
      <w:pPr>
        <w:pStyle w:val="Quote"/>
        <w:ind w:left="1474" w:hanging="737"/>
      </w:pPr>
      <w:r>
        <w:t>“</w:t>
      </w:r>
      <w:bookmarkStart w:id="28" w:name="para152"/>
      <w:r w:rsidR="00003EA7">
        <w:t>152.</w:t>
      </w:r>
      <w:r w:rsidR="00003EA7">
        <w:tab/>
        <w:t xml:space="preserve">… </w:t>
      </w:r>
      <w:r w:rsidR="003927BD" w:rsidRPr="003927BD">
        <w:t>The reasoning in </w:t>
      </w:r>
      <w:r w:rsidR="003927BD" w:rsidRPr="003927BD">
        <w:rPr>
          <w:i/>
          <w:iCs/>
        </w:rPr>
        <w:t>Panasonic CA</w:t>
      </w:r>
      <w:r w:rsidR="003927BD" w:rsidRPr="003927BD">
        <w:t> at [96]-[97] and </w:t>
      </w:r>
      <w:r w:rsidR="003927BD" w:rsidRPr="003927BD">
        <w:rPr>
          <w:i/>
          <w:iCs/>
        </w:rPr>
        <w:t>Lenovo CA</w:t>
      </w:r>
      <w:r w:rsidR="003927BD" w:rsidRPr="003927BD">
        <w:t> at [149] is equally applicable here. If the declaration does induce ZTE to reconsider their position and grant Samsung an interim licence on the terms Samsung seek, that would promote comity because it would relieve the courts and tribunals of Brazil, Germany, the UPC and Hangzhou of a great deal of burdensome and wasteful litigation commenced by ZTE, but also the retaliatory litigation in those jurisdictions plus the USA commenced by Samsung.</w:t>
      </w:r>
      <w:bookmarkEnd w:id="28"/>
    </w:p>
    <w:p w14:paraId="327B16EA" w14:textId="55BC7EE3" w:rsidR="003927BD" w:rsidRPr="003927BD" w:rsidRDefault="00003EA7" w:rsidP="004563C6">
      <w:pPr>
        <w:pStyle w:val="Quote"/>
        <w:ind w:left="1474" w:hanging="737"/>
      </w:pPr>
      <w:bookmarkStart w:id="29" w:name="para153"/>
      <w:r>
        <w:t>153.</w:t>
      </w:r>
      <w:r>
        <w:tab/>
      </w:r>
      <w:r w:rsidR="003927BD" w:rsidRPr="003927BD">
        <w:t>In saying that, I acknowledge that the various offers made by ZTE would, if accepted, also relieve the same courts of the same amount of burdensome and wasteful litigation. The March Offer required Samsung to abandon this action and the April Offer does not. The April Offer allows this action to proceed.</w:t>
      </w:r>
      <w:bookmarkEnd w:id="29"/>
    </w:p>
    <w:p w14:paraId="372ADF68" w14:textId="21BF3666" w:rsidR="003927BD" w:rsidRPr="003927BD" w:rsidRDefault="00003EA7" w:rsidP="004563C6">
      <w:pPr>
        <w:pStyle w:val="Quote"/>
        <w:ind w:left="1474" w:hanging="737"/>
      </w:pPr>
      <w:bookmarkStart w:id="30" w:name="para154"/>
      <w:r>
        <w:t>154.</w:t>
      </w:r>
      <w:r>
        <w:tab/>
      </w:r>
      <w:r w:rsidR="003927BD" w:rsidRPr="003927BD">
        <w:t>As above, it is for the Chinese Courts to decide what they should do with the Chongqing Proceedings. I have no role in that process.</w:t>
      </w:r>
      <w:bookmarkEnd w:id="30"/>
    </w:p>
    <w:p w14:paraId="02C96ECE" w14:textId="6765DB37" w:rsidR="003927BD" w:rsidRPr="003927BD" w:rsidRDefault="00003EA7" w:rsidP="004563C6">
      <w:pPr>
        <w:pStyle w:val="Quote"/>
        <w:ind w:left="1474" w:hanging="737"/>
      </w:pPr>
      <w:bookmarkStart w:id="31" w:name="para155"/>
      <w:r>
        <w:t>155.</w:t>
      </w:r>
      <w:r>
        <w:tab/>
      </w:r>
      <w:r w:rsidR="003927BD" w:rsidRPr="003927BD">
        <w:t>However, to similar effect, it is for Judges in this jurisdiction to decide what should happen to this action. The Court has jurisdiction. ZTE dropped their challenge to jurisdiction, thereby accepting the jurisdiction of this Court over the claim brought by Samsung. Not surprisingly, ZTE did not attempt to seek a case management stay of this action in favour of the Chongqing Proceedings. A trial date has been set, along with directions to that FRAND trial.</w:t>
      </w:r>
      <w:bookmarkEnd w:id="31"/>
    </w:p>
    <w:p w14:paraId="04AC7608" w14:textId="1825ADEA" w:rsidR="003927BD" w:rsidRPr="003927BD" w:rsidRDefault="00DA21F3" w:rsidP="004563C6">
      <w:pPr>
        <w:pStyle w:val="Quote"/>
        <w:ind w:left="1474" w:hanging="737"/>
      </w:pPr>
      <w:bookmarkStart w:id="32" w:name="para156"/>
      <w:r>
        <w:t>156.</w:t>
      </w:r>
      <w:r>
        <w:tab/>
      </w:r>
      <w:r w:rsidR="003927BD" w:rsidRPr="003927BD">
        <w:t>In these circumstances there is no basis, in my judgment, for criticising Samsung for not accepting ZTE</w:t>
      </w:r>
      <w:r>
        <w:t>’</w:t>
      </w:r>
      <w:r w:rsidR="003927BD" w:rsidRPr="003927BD">
        <w:t>s terms. At best, ZTE</w:t>
      </w:r>
      <w:r>
        <w:t>’</w:t>
      </w:r>
      <w:r w:rsidR="003927BD" w:rsidRPr="003927BD">
        <w:t>s approach results in unnecessary duplication of determination of global FRAND terms between these parties.</w:t>
      </w:r>
      <w:bookmarkEnd w:id="32"/>
    </w:p>
    <w:p w14:paraId="40D8A8C5" w14:textId="516F7AA4" w:rsidR="00D61D0D" w:rsidRDefault="00DA21F3" w:rsidP="004563C6">
      <w:pPr>
        <w:pStyle w:val="Quote"/>
        <w:ind w:left="1474" w:hanging="737"/>
      </w:pPr>
      <w:bookmarkStart w:id="33" w:name="para157"/>
      <w:r>
        <w:t>157.</w:t>
      </w:r>
      <w:r>
        <w:tab/>
      </w:r>
      <w:r w:rsidR="003927BD" w:rsidRPr="003927BD">
        <w:t>As for ZTE, there is a basis for criticising ZTE</w:t>
      </w:r>
      <w:r>
        <w:t>’</w:t>
      </w:r>
      <w:r w:rsidR="003927BD" w:rsidRPr="003927BD">
        <w:t>s conduct in trying, through their interim licence terms, backed by their wave of litigation, to either derail or displace this action. ZTE</w:t>
      </w:r>
      <w:r>
        <w:t>’</w:t>
      </w:r>
      <w:r w:rsidR="003927BD" w:rsidRPr="003927BD">
        <w:t>s terms interfere with the jurisdiction of this Court which they have accepted</w:t>
      </w:r>
      <w:r w:rsidR="00F947D7">
        <w:t>…</w:t>
      </w:r>
      <w:r w:rsidR="003927BD" w:rsidRPr="003927BD">
        <w:t>. In practical terms, ZTE</w:t>
      </w:r>
      <w:r>
        <w:t>’</w:t>
      </w:r>
      <w:r w:rsidR="003927BD" w:rsidRPr="003927BD">
        <w:t>s terms are designed to render this action pointless, so that Samsung effectively has to abandon it, unless they can bear the prospect of the costs of two FRAND determinations.</w:t>
      </w:r>
      <w:bookmarkEnd w:id="33"/>
      <w:r w:rsidR="00D61D0D">
        <w:t>”</w:t>
      </w:r>
    </w:p>
    <w:p w14:paraId="2D9D3701" w14:textId="3F8EFF47" w:rsidR="00151F43" w:rsidRPr="00151F43" w:rsidRDefault="00151F43" w:rsidP="004563C6">
      <w:pPr>
        <w:pStyle w:val="ParaHeading"/>
        <w:rPr>
          <w:u w:val="single"/>
        </w:rPr>
      </w:pPr>
      <w:r w:rsidRPr="00151F43">
        <w:rPr>
          <w:u w:val="single"/>
        </w:rPr>
        <w:t>The order under appeal</w:t>
      </w:r>
    </w:p>
    <w:p w14:paraId="2CB9DB1C" w14:textId="5B841A86" w:rsidR="00151F43" w:rsidRDefault="00151F43" w:rsidP="004563C6">
      <w:pPr>
        <w:pStyle w:val="ParaLevel1"/>
      </w:pPr>
      <w:r>
        <w:t xml:space="preserve">The relevant parts of </w:t>
      </w:r>
      <w:r w:rsidRPr="00151F43">
        <w:t>the judge</w:t>
      </w:r>
      <w:r>
        <w:t>’s order are declarations in the following terms:</w:t>
      </w:r>
    </w:p>
    <w:p w14:paraId="6C56E137" w14:textId="755BA83F" w:rsidR="00177FAE" w:rsidRDefault="00B24972" w:rsidP="004563C6">
      <w:pPr>
        <w:pStyle w:val="Quote"/>
        <w:ind w:left="1474" w:hanging="737"/>
      </w:pPr>
      <w:r>
        <w:t>“</w:t>
      </w:r>
      <w:r w:rsidR="001442D0" w:rsidRPr="001442D0">
        <w:t xml:space="preserve">1. </w:t>
      </w:r>
      <w:r w:rsidR="00654A59">
        <w:tab/>
      </w:r>
      <w:r w:rsidR="001442D0" w:rsidRPr="001442D0">
        <w:t xml:space="preserve">ZTE are in breach of their obligations of good faith under clause 6.1 of the ETSI IPR Policy. </w:t>
      </w:r>
    </w:p>
    <w:p w14:paraId="2936CFB9" w14:textId="58527F4F" w:rsidR="00177FAE" w:rsidRDefault="001442D0" w:rsidP="004563C6">
      <w:pPr>
        <w:pStyle w:val="Quote"/>
        <w:ind w:left="1474" w:hanging="737"/>
      </w:pPr>
      <w:r w:rsidRPr="001442D0">
        <w:t xml:space="preserve">2. </w:t>
      </w:r>
      <w:r w:rsidR="00654A59">
        <w:tab/>
      </w:r>
      <w:r w:rsidRPr="001442D0">
        <w:t xml:space="preserve">A willing licensor in the position of ZTE, and in light of the undertaking given by Samsung, would enter into the interim cross-licence with Samsung on terms and including the sum to be paid by Samsung by way of royalty in respect of the interim licence period as set out in Confidential Annex 1 to this Order (the Interim Licence). </w:t>
      </w:r>
    </w:p>
    <w:p w14:paraId="05FD9136" w14:textId="6FEACE71" w:rsidR="0069129F" w:rsidRDefault="001442D0" w:rsidP="004563C6">
      <w:pPr>
        <w:pStyle w:val="Quote"/>
        <w:ind w:left="1474" w:hanging="737"/>
      </w:pPr>
      <w:r w:rsidRPr="001442D0">
        <w:t xml:space="preserve">3. </w:t>
      </w:r>
      <w:r w:rsidR="00654A59">
        <w:tab/>
      </w:r>
      <w:r w:rsidRPr="001442D0">
        <w:t>The terms (including the sum to be paid) of the Interim Licence are subject to adjustment and amendment so as to bring the terms into line with the terms of the final cross-licence determined to be FRAND by the Patents Court after the FRAND Trial in these proceedings (subject to any later adjustments or amendments following any appeals).</w:t>
      </w:r>
    </w:p>
    <w:p w14:paraId="7476F2AA" w14:textId="19742DDB" w:rsidR="006D11EF" w:rsidRDefault="00813587" w:rsidP="004563C6">
      <w:pPr>
        <w:pStyle w:val="Quote"/>
        <w:ind w:left="1474" w:hanging="737"/>
      </w:pPr>
      <w:r w:rsidRPr="00813587">
        <w:t xml:space="preserve">4. </w:t>
      </w:r>
      <w:r w:rsidR="006334F8">
        <w:tab/>
      </w:r>
      <w:r w:rsidRPr="00813587">
        <w:t xml:space="preserve">In the event that, within seven days of the date of this Order, ZTE refuse either 4.1 or 4.2 below, ZTE are in breach of their FRAND commitments under the ETSI IPR Policy and are unwilling licensors (and unwilling licensees). </w:t>
      </w:r>
    </w:p>
    <w:p w14:paraId="7D88ED9D" w14:textId="190FEC6C" w:rsidR="006D11EF" w:rsidRDefault="00813587" w:rsidP="004563C6">
      <w:pPr>
        <w:pStyle w:val="Quote"/>
        <w:ind w:left="1474" w:hanging="737"/>
      </w:pPr>
      <w:r w:rsidRPr="00813587">
        <w:t xml:space="preserve">4.1 </w:t>
      </w:r>
      <w:r w:rsidR="006334F8">
        <w:tab/>
      </w:r>
      <w:r w:rsidRPr="00813587">
        <w:t xml:space="preserve">To offer Samsung the Interim Licence and to enter into the same with Samsung; or </w:t>
      </w:r>
    </w:p>
    <w:p w14:paraId="1F299483" w14:textId="12EDB81D" w:rsidR="00721973" w:rsidRDefault="00813587" w:rsidP="004563C6">
      <w:pPr>
        <w:pStyle w:val="Quote"/>
        <w:ind w:left="1474" w:hanging="737"/>
      </w:pPr>
      <w:r w:rsidRPr="00813587">
        <w:t xml:space="preserve">4.2 </w:t>
      </w:r>
      <w:r w:rsidR="006334F8">
        <w:tab/>
      </w:r>
      <w:r w:rsidRPr="00813587">
        <w:t xml:space="preserve">Give the following undertaking to the Court on condition that Samsung give the reciprocal undertaking set out above: </w:t>
      </w:r>
    </w:p>
    <w:p w14:paraId="30DAB795" w14:textId="09806EDC" w:rsidR="00B24972" w:rsidRPr="00151F43" w:rsidRDefault="00813587" w:rsidP="004563C6">
      <w:pPr>
        <w:pStyle w:val="Quote"/>
        <w:ind w:left="1474"/>
      </w:pPr>
      <w:r w:rsidRPr="00813587">
        <w:t>Pending any application for permission to appeal or the determination of any such appeal, ZTE undertake that they shall abide by the terms of the Interim Licence as if the same were in full force and effect and shall enter into the Interim Licence within seven days of any such appeal or permission to appeal being refused or withdrawn. If any appeal is finally allowed, ZTE shall repay any sums paid by Samsung under their undertaking given above which the Court decides should be repaid (including interest if appropriate)</w:t>
      </w:r>
      <w:r w:rsidR="00B24972">
        <w:t>”</w:t>
      </w:r>
    </w:p>
    <w:p w14:paraId="6511A77D" w14:textId="51E08C84" w:rsidR="00F2385A" w:rsidRPr="00F2385A" w:rsidRDefault="00F2385A" w:rsidP="004563C6">
      <w:pPr>
        <w:pStyle w:val="ParaHeading"/>
        <w:rPr>
          <w:u w:val="single"/>
        </w:rPr>
      </w:pPr>
      <w:r w:rsidRPr="00F2385A">
        <w:rPr>
          <w:u w:val="single"/>
        </w:rPr>
        <w:t>Grounds of appeal</w:t>
      </w:r>
    </w:p>
    <w:p w14:paraId="52286B55" w14:textId="74D5542B" w:rsidR="00F2385A" w:rsidRDefault="00A3424D" w:rsidP="004563C6">
      <w:pPr>
        <w:pStyle w:val="ParaLevel1"/>
      </w:pPr>
      <w:r w:rsidRPr="00A3424D">
        <w:t>ZTE</w:t>
      </w:r>
      <w:r>
        <w:t xml:space="preserve"> appeal on four grounds.</w:t>
      </w:r>
      <w:r w:rsidR="008E3493">
        <w:t xml:space="preserve"> Ground 1 is that the judge was wrong to </w:t>
      </w:r>
      <w:r w:rsidR="00000C50">
        <w:t xml:space="preserve">hold that </w:t>
      </w:r>
      <w:r w:rsidR="00000C50" w:rsidRPr="00000C50">
        <w:t>ZTE</w:t>
      </w:r>
      <w:r w:rsidR="00000C50">
        <w:t xml:space="preserve"> had acted in bad faith. Ground 2 is </w:t>
      </w:r>
      <w:r w:rsidR="001D7624">
        <w:t xml:space="preserve">that the judge was wrong to </w:t>
      </w:r>
      <w:r w:rsidR="001E6C4E">
        <w:t>treat the fact that the English courts were first sei</w:t>
      </w:r>
      <w:r w:rsidR="00923E0A">
        <w:t>s</w:t>
      </w:r>
      <w:r w:rsidR="001E6C4E">
        <w:t>ed as a decisive factor</w:t>
      </w:r>
      <w:r w:rsidR="00553C1E">
        <w:t xml:space="preserve">. Ground 3 is that the declaration granted by </w:t>
      </w:r>
      <w:r w:rsidR="00553C1E" w:rsidRPr="00553C1E">
        <w:t>the judge</w:t>
      </w:r>
      <w:r w:rsidR="00553C1E">
        <w:t xml:space="preserve"> went beyond what was necessary to remedy the mischief he had identified. </w:t>
      </w:r>
      <w:r w:rsidR="003E2811">
        <w:t xml:space="preserve">Ground 4 is that the judge was wrong to hold that the declarations </w:t>
      </w:r>
      <w:r w:rsidR="00BB4A91">
        <w:t>he granted were not contrary to comity.</w:t>
      </w:r>
    </w:p>
    <w:p w14:paraId="42096EED" w14:textId="3CE6F0A8" w:rsidR="00F2385A" w:rsidRPr="00F2385A" w:rsidRDefault="00F2385A" w:rsidP="004563C6">
      <w:pPr>
        <w:pStyle w:val="ParaHeading"/>
        <w:rPr>
          <w:u w:val="single"/>
        </w:rPr>
      </w:pPr>
      <w:r w:rsidRPr="00F2385A">
        <w:rPr>
          <w:u w:val="single"/>
        </w:rPr>
        <w:t>Respondents’ notice</w:t>
      </w:r>
    </w:p>
    <w:p w14:paraId="7C4E073A" w14:textId="237203D4" w:rsidR="00F2385A" w:rsidRDefault="00A3424D" w:rsidP="004563C6">
      <w:pPr>
        <w:pStyle w:val="ParaLevel1"/>
      </w:pPr>
      <w:r w:rsidRPr="00A3424D">
        <w:t>Samsung</w:t>
      </w:r>
      <w:r>
        <w:t xml:space="preserve"> have served a respondents’ notice contending that </w:t>
      </w:r>
      <w:r w:rsidRPr="00A3424D">
        <w:t>the judge</w:t>
      </w:r>
      <w:r>
        <w:t>’s decision should be upheld for two additional or alternative grounds.</w:t>
      </w:r>
      <w:r w:rsidR="00BB4A91">
        <w:t xml:space="preserve"> Ground 1 is that </w:t>
      </w:r>
      <w:r w:rsidR="00037A9F">
        <w:t xml:space="preserve">the general law and practice relating to choice of fora in the arbitration </w:t>
      </w:r>
      <w:r w:rsidR="00102071">
        <w:t xml:space="preserve">of international commercial disputes supports the selection of a neutral forum to determine </w:t>
      </w:r>
      <w:r w:rsidR="00102071" w:rsidRPr="00102071">
        <w:t>FRAND</w:t>
      </w:r>
      <w:r w:rsidR="00102071">
        <w:t xml:space="preserve"> disputes. Ground 2 is that </w:t>
      </w:r>
      <w:r w:rsidR="00CB320E" w:rsidRPr="00CB320E">
        <w:t>ZTE</w:t>
      </w:r>
      <w:r w:rsidR="00CB320E">
        <w:t xml:space="preserve">’s proposed interim licence amounts in effect to a </w:t>
      </w:r>
      <w:r w:rsidR="00CB320E" w:rsidRPr="00CB320E">
        <w:rPr>
          <w:i/>
          <w:iCs/>
        </w:rPr>
        <w:t>forum non conveniens</w:t>
      </w:r>
      <w:r w:rsidR="00CB320E">
        <w:t xml:space="preserve"> application by the back door when no such application has been made by </w:t>
      </w:r>
      <w:r w:rsidR="00CB320E" w:rsidRPr="00CB320E">
        <w:t>ZTE</w:t>
      </w:r>
      <w:r w:rsidR="00CB320E">
        <w:t xml:space="preserve">. </w:t>
      </w:r>
      <w:r w:rsidR="00037A9F">
        <w:t xml:space="preserve"> </w:t>
      </w:r>
    </w:p>
    <w:p w14:paraId="15EF437F" w14:textId="2BF7D54A" w:rsidR="00F2385A" w:rsidRPr="00F2385A" w:rsidRDefault="005B6495" w:rsidP="004563C6">
      <w:pPr>
        <w:pStyle w:val="ParaHeading"/>
        <w:rPr>
          <w:u w:val="single"/>
        </w:rPr>
      </w:pPr>
      <w:r>
        <w:rPr>
          <w:u w:val="single"/>
        </w:rPr>
        <w:t>Appeal g</w:t>
      </w:r>
      <w:r w:rsidR="00F2385A" w:rsidRPr="00F2385A">
        <w:rPr>
          <w:u w:val="single"/>
        </w:rPr>
        <w:t>round</w:t>
      </w:r>
      <w:r w:rsidR="004A0654">
        <w:rPr>
          <w:u w:val="single"/>
        </w:rPr>
        <w:t>s</w:t>
      </w:r>
      <w:r w:rsidR="00F2385A" w:rsidRPr="00F2385A">
        <w:rPr>
          <w:u w:val="single"/>
        </w:rPr>
        <w:t xml:space="preserve"> 1</w:t>
      </w:r>
      <w:r w:rsidR="004A0654">
        <w:rPr>
          <w:u w:val="single"/>
        </w:rPr>
        <w:t xml:space="preserve"> and 2</w:t>
      </w:r>
      <w:r w:rsidR="00BF27E8">
        <w:rPr>
          <w:u w:val="single"/>
        </w:rPr>
        <w:t xml:space="preserve"> and the </w:t>
      </w:r>
      <w:r w:rsidR="00975203">
        <w:rPr>
          <w:u w:val="single"/>
        </w:rPr>
        <w:t>respondents’ notice grounds</w:t>
      </w:r>
      <w:r w:rsidR="002C4D35">
        <w:rPr>
          <w:u w:val="single"/>
        </w:rPr>
        <w:t xml:space="preserve">: </w:t>
      </w:r>
      <w:r w:rsidR="00E31462">
        <w:rPr>
          <w:u w:val="single"/>
        </w:rPr>
        <w:t>bad faith</w:t>
      </w:r>
    </w:p>
    <w:p w14:paraId="730A10EE" w14:textId="515FC1C4" w:rsidR="0081739D" w:rsidRDefault="00975203" w:rsidP="004563C6">
      <w:pPr>
        <w:pStyle w:val="ParaLevel1"/>
      </w:pPr>
      <w:r>
        <w:t>Appeal g</w:t>
      </w:r>
      <w:r w:rsidR="005B6495">
        <w:t>rounds 1 and 2</w:t>
      </w:r>
      <w:r>
        <w:t xml:space="preserve"> and the respondent</w:t>
      </w:r>
      <w:r w:rsidR="008923AB">
        <w:t>s</w:t>
      </w:r>
      <w:r>
        <w:t>’ notice grounds</w:t>
      </w:r>
      <w:r w:rsidR="005B6495">
        <w:t xml:space="preserve"> are</w:t>
      </w:r>
      <w:r>
        <w:t xml:space="preserve"> all</w:t>
      </w:r>
      <w:r w:rsidR="005B6495">
        <w:t xml:space="preserve"> inter-related and </w:t>
      </w:r>
      <w:r w:rsidR="00291194">
        <w:t>fall to</w:t>
      </w:r>
      <w:r w:rsidR="005B6495">
        <w:t xml:space="preserve"> be considered together</w:t>
      </w:r>
      <w:r w:rsidR="004B7B8A">
        <w:t>.</w:t>
      </w:r>
      <w:r w:rsidR="00A35ADC">
        <w:t xml:space="preserve"> Although </w:t>
      </w:r>
      <w:r w:rsidR="00820DB9" w:rsidRPr="00820DB9">
        <w:t>Samsung</w:t>
      </w:r>
      <w:r w:rsidR="00820DB9">
        <w:t xml:space="preserve"> argued that the judge’s decision that </w:t>
      </w:r>
      <w:r w:rsidR="00820DB9" w:rsidRPr="00820DB9">
        <w:t>ZTE</w:t>
      </w:r>
      <w:r w:rsidR="00820DB9">
        <w:t xml:space="preserve"> had acted in bad faith involved an evaluative assessment </w:t>
      </w:r>
      <w:r w:rsidR="006D3C60">
        <w:t>which could only be interfered with on the limited grounds identified in</w:t>
      </w:r>
      <w:r w:rsidR="00515DFD" w:rsidRPr="00515DFD">
        <w:rPr>
          <w:i/>
          <w:iCs/>
          <w:szCs w:val="24"/>
        </w:rPr>
        <w:t xml:space="preserve"> </w:t>
      </w:r>
      <w:r w:rsidR="00515DFD" w:rsidRPr="00515DFD">
        <w:rPr>
          <w:i/>
          <w:iCs/>
        </w:rPr>
        <w:t>Lifestyle Equities CV v Amazon UK Services Ltd</w:t>
      </w:r>
      <w:r w:rsidR="00515DFD" w:rsidRPr="00515DFD">
        <w:t xml:space="preserve"> [2024] UKSC 8, [2024] Bus LR 532 at [46]-[50] (Lord Briggs and Lord Kitchin) and </w:t>
      </w:r>
      <w:r w:rsidR="00515DFD" w:rsidRPr="00515DFD">
        <w:rPr>
          <w:i/>
          <w:iCs/>
        </w:rPr>
        <w:t>Iconix Luxembourg Holdings SARL v Dream Pairs Europe Inc</w:t>
      </w:r>
      <w:r w:rsidR="00515DFD" w:rsidRPr="00515DFD">
        <w:t xml:space="preserve"> [2025] UKSC 25 at [94]-[95] (Lord Briggs and Lord Stephens)</w:t>
      </w:r>
      <w:r w:rsidR="006D3C60">
        <w:t xml:space="preserve">, these grounds raise the issue of principle identified in </w:t>
      </w:r>
      <w:r w:rsidR="00E72AD1">
        <w:t>paragraph 1 above.</w:t>
      </w:r>
    </w:p>
    <w:p w14:paraId="1F829088" w14:textId="62D69E12" w:rsidR="00BA2070" w:rsidRDefault="0081739D" w:rsidP="004563C6">
      <w:pPr>
        <w:pStyle w:val="ParaLevel1"/>
      </w:pPr>
      <w:r>
        <w:t>It is important to emphasise before proceeding further</w:t>
      </w:r>
      <w:r w:rsidR="001D7542">
        <w:t xml:space="preserve"> that this case </w:t>
      </w:r>
      <w:r w:rsidR="00776272">
        <w:t xml:space="preserve">is to be distinguished </w:t>
      </w:r>
      <w:r w:rsidR="00CB7F38">
        <w:t xml:space="preserve">from </w:t>
      </w:r>
      <w:r w:rsidR="00CB7F38" w:rsidRPr="00CB7F38">
        <w:rPr>
          <w:i/>
          <w:iCs/>
        </w:rPr>
        <w:t>Panasonic v Xiaomi</w:t>
      </w:r>
      <w:r w:rsidR="00CB7F38">
        <w:t xml:space="preserve"> and </w:t>
      </w:r>
      <w:r w:rsidR="00CB7F38" w:rsidRPr="00CB7F38">
        <w:rPr>
          <w:i/>
          <w:iCs/>
        </w:rPr>
        <w:t>Lenovo v Ericsson</w:t>
      </w:r>
      <w:r w:rsidR="00274D45">
        <w:t xml:space="preserve">. </w:t>
      </w:r>
      <w:r w:rsidR="00CB7F38">
        <w:t xml:space="preserve">As I </w:t>
      </w:r>
      <w:r w:rsidR="00E530D7">
        <w:t xml:space="preserve">have </w:t>
      </w:r>
      <w:r w:rsidR="00CB7F38">
        <w:t xml:space="preserve">explained, in those cases </w:t>
      </w:r>
      <w:r w:rsidR="00A76633">
        <w:t xml:space="preserve">this Court concluded that the SEP owners were acting in bad faith because they were attempting </w:t>
      </w:r>
      <w:r w:rsidR="00DC5CDE">
        <w:t xml:space="preserve">by means of claims for injunctive </w:t>
      </w:r>
      <w:r w:rsidR="00406545">
        <w:t xml:space="preserve">(or equivalent) </w:t>
      </w:r>
      <w:r w:rsidR="00DC5CDE">
        <w:t>relief</w:t>
      </w:r>
      <w:r w:rsidR="00406545">
        <w:t xml:space="preserve"> in other jurisdictions to force the implementers to agree to </w:t>
      </w:r>
      <w:r w:rsidR="00E530D7">
        <w:t xml:space="preserve">terms more favourable to the </w:t>
      </w:r>
      <w:r w:rsidR="00E530D7" w:rsidRPr="00E530D7">
        <w:t>SEP owner</w:t>
      </w:r>
      <w:r w:rsidR="00E530D7">
        <w:t>s</w:t>
      </w:r>
      <w:r w:rsidR="00E530D7" w:rsidRPr="00E530D7">
        <w:t xml:space="preserve"> </w:t>
      </w:r>
      <w:r w:rsidR="00E530D7">
        <w:t>than the English courts would order.</w:t>
      </w:r>
      <w:r w:rsidR="00C514D0">
        <w:t xml:space="preserve"> The judge acquitted </w:t>
      </w:r>
      <w:r w:rsidR="00C514D0" w:rsidRPr="00C514D0">
        <w:t>ZTE</w:t>
      </w:r>
      <w:r w:rsidR="00C514D0">
        <w:t xml:space="preserve"> of any such intention</w:t>
      </w:r>
      <w:r w:rsidR="009F0832">
        <w:t xml:space="preserve">, and there is no challenge by </w:t>
      </w:r>
      <w:r w:rsidR="009F0832" w:rsidRPr="009F0832">
        <w:t>Samsung</w:t>
      </w:r>
      <w:r w:rsidR="009F0832">
        <w:t xml:space="preserve"> to that aspect of his decision. T</w:t>
      </w:r>
      <w:r w:rsidR="009F0832" w:rsidRPr="009F0832">
        <w:t>he judge</w:t>
      </w:r>
      <w:r w:rsidR="009F0832">
        <w:t xml:space="preserve">’s </w:t>
      </w:r>
      <w:r w:rsidR="00AE460C">
        <w:t>decision to grant the declaration</w:t>
      </w:r>
      <w:r w:rsidR="00960002">
        <w:t>s</w:t>
      </w:r>
      <w:r w:rsidR="00AE460C">
        <w:t xml:space="preserve"> sought by </w:t>
      </w:r>
      <w:r w:rsidR="00AE460C" w:rsidRPr="00AE460C">
        <w:t>Samsung</w:t>
      </w:r>
      <w:r w:rsidR="00AE460C">
        <w:t xml:space="preserve"> was based solely on his conclusion that </w:t>
      </w:r>
      <w:r w:rsidR="00354BC3" w:rsidRPr="00354BC3">
        <w:t>ZTE</w:t>
      </w:r>
      <w:r w:rsidR="00354BC3">
        <w:t xml:space="preserve"> were acting in bad faith by</w:t>
      </w:r>
      <w:r w:rsidR="00354BC3" w:rsidRPr="00354BC3">
        <w:rPr>
          <w:szCs w:val="24"/>
        </w:rPr>
        <w:t xml:space="preserve"> </w:t>
      </w:r>
      <w:r w:rsidR="00CD1442">
        <w:rPr>
          <w:szCs w:val="24"/>
        </w:rPr>
        <w:t xml:space="preserve">bringing </w:t>
      </w:r>
      <w:r w:rsidR="00354BC3" w:rsidRPr="00354BC3">
        <w:t>claims for injunctive relief in other jurisdictions</w:t>
      </w:r>
      <w:r w:rsidR="00354BC3">
        <w:t xml:space="preserve"> </w:t>
      </w:r>
      <w:r w:rsidR="007C3346">
        <w:t>which were intended to try</w:t>
      </w:r>
      <w:r w:rsidR="00354BC3">
        <w:t xml:space="preserve"> to force </w:t>
      </w:r>
      <w:r w:rsidR="00354BC3" w:rsidRPr="00354BC3">
        <w:t>Samsung</w:t>
      </w:r>
      <w:r w:rsidR="00354BC3">
        <w:t xml:space="preserve"> to agree to </w:t>
      </w:r>
      <w:r w:rsidR="00354BC3" w:rsidRPr="00354BC3">
        <w:t>FRAND</w:t>
      </w:r>
      <w:r w:rsidR="00FA66D1">
        <w:t xml:space="preserve"> determination</w:t>
      </w:r>
      <w:r w:rsidR="00354BC3">
        <w:t xml:space="preserve"> by </w:t>
      </w:r>
      <w:r w:rsidR="0037327C" w:rsidRPr="0037327C">
        <w:t>the Chongqing Court</w:t>
      </w:r>
      <w:r w:rsidR="0037327C">
        <w:t xml:space="preserve"> rather than </w:t>
      </w:r>
      <w:r w:rsidR="00AD3762">
        <w:t xml:space="preserve">by </w:t>
      </w:r>
      <w:r w:rsidR="0037327C">
        <w:t>the English courts.</w:t>
      </w:r>
      <w:r w:rsidR="002246FB">
        <w:t xml:space="preserve"> Neither</w:t>
      </w:r>
      <w:r w:rsidR="0064769D">
        <w:t xml:space="preserve"> </w:t>
      </w:r>
      <w:r w:rsidR="0064769D" w:rsidRPr="0064769D">
        <w:rPr>
          <w:i/>
          <w:iCs/>
        </w:rPr>
        <w:t>Panasonic v Xiaomi</w:t>
      </w:r>
      <w:r w:rsidR="0064769D" w:rsidRPr="0064769D">
        <w:t xml:space="preserve"> and </w:t>
      </w:r>
      <w:r w:rsidR="0064769D" w:rsidRPr="0064769D">
        <w:rPr>
          <w:i/>
          <w:iCs/>
        </w:rPr>
        <w:t>Lenovo v Ericsson</w:t>
      </w:r>
      <w:r w:rsidR="0064769D">
        <w:rPr>
          <w:i/>
          <w:iCs/>
        </w:rPr>
        <w:t xml:space="preserve"> </w:t>
      </w:r>
      <w:r w:rsidR="0064769D">
        <w:t xml:space="preserve">involved </w:t>
      </w:r>
      <w:r w:rsidR="00AC73B3">
        <w:t>the</w:t>
      </w:r>
      <w:r w:rsidR="0064769D">
        <w:t xml:space="preserve"> SEP owner seeking to </w:t>
      </w:r>
      <w:r w:rsidR="00AC73B3">
        <w:t xml:space="preserve">force the implementer to accept the SEP owner’s preferred </w:t>
      </w:r>
      <w:r w:rsidR="009B5245">
        <w:t xml:space="preserve">forum for </w:t>
      </w:r>
      <w:r w:rsidR="009B5245" w:rsidRPr="009B5245">
        <w:t>FRAND</w:t>
      </w:r>
      <w:r w:rsidR="009B5245">
        <w:t xml:space="preserve"> determination.</w:t>
      </w:r>
    </w:p>
    <w:p w14:paraId="3CD35AFD" w14:textId="7EF5CAE9" w:rsidR="004413F2" w:rsidRDefault="0087633A" w:rsidP="004563C6">
      <w:pPr>
        <w:pStyle w:val="ParaLevel1"/>
      </w:pPr>
      <w:r>
        <w:t xml:space="preserve">Counsel for </w:t>
      </w:r>
      <w:r w:rsidRPr="0087633A">
        <w:t>Samsung</w:t>
      </w:r>
      <w:r>
        <w:t xml:space="preserve"> emphasised </w:t>
      </w:r>
      <w:r w:rsidR="009773E9">
        <w:t xml:space="preserve">the submissions which he made </w:t>
      </w:r>
      <w:r w:rsidR="004A5030">
        <w:t xml:space="preserve">and </w:t>
      </w:r>
      <w:r w:rsidR="009773E9">
        <w:t xml:space="preserve">I accepted in </w:t>
      </w:r>
      <w:r w:rsidR="009773E9" w:rsidRPr="009773E9">
        <w:rPr>
          <w:i/>
          <w:iCs/>
        </w:rPr>
        <w:t>Panasonic v Xiaomi</w:t>
      </w:r>
      <w:r w:rsidR="009773E9" w:rsidRPr="009773E9">
        <w:t xml:space="preserve"> </w:t>
      </w:r>
      <w:r w:rsidR="009773E9">
        <w:t xml:space="preserve">at </w:t>
      </w:r>
      <w:r w:rsidR="0070763F">
        <w:t>[79]</w:t>
      </w:r>
      <w:r w:rsidR="0099521D">
        <w:t>-</w:t>
      </w:r>
      <w:r w:rsidR="0070763F">
        <w:t>[80]</w:t>
      </w:r>
      <w:r w:rsidR="00652580">
        <w:t>,</w:t>
      </w:r>
      <w:r w:rsidR="0099521D">
        <w:t xml:space="preserve"> and reiterated in </w:t>
      </w:r>
      <w:r w:rsidR="0099521D" w:rsidRPr="0099521D">
        <w:rPr>
          <w:i/>
          <w:iCs/>
        </w:rPr>
        <w:t>Lenovo v Ericsson</w:t>
      </w:r>
      <w:r w:rsidR="006F6484">
        <w:rPr>
          <w:i/>
          <w:iCs/>
        </w:rPr>
        <w:t xml:space="preserve"> </w:t>
      </w:r>
      <w:r w:rsidR="006F6484">
        <w:t>at [106]</w:t>
      </w:r>
      <w:r w:rsidR="0070763F">
        <w:t xml:space="preserve">: </w:t>
      </w:r>
      <w:r w:rsidR="004A5030">
        <w:t>first, the only role for an injunction in the FRAND regime</w:t>
      </w:r>
      <w:r w:rsidR="006F6484">
        <w:t xml:space="preserve"> is to enforce the </w:t>
      </w:r>
      <w:r w:rsidR="006F6484" w:rsidRPr="006F6484">
        <w:t>SEP owner</w:t>
      </w:r>
      <w:r w:rsidR="006F6484">
        <w:t xml:space="preserve">’s entitlement to financial </w:t>
      </w:r>
      <w:r w:rsidR="004E3D42">
        <w:t>compensation</w:t>
      </w:r>
      <w:r w:rsidR="006F6484">
        <w:t xml:space="preserve"> for the implementer’s exploitation of its SEPs; and secondly</w:t>
      </w:r>
      <w:r w:rsidR="00653A2D">
        <w:t xml:space="preserve">, the implementer is entitled to an uninterrupted licence from day one provided that it is willing to take a licence on </w:t>
      </w:r>
      <w:r w:rsidR="00653A2D" w:rsidRPr="00653A2D">
        <w:t>FRAND</w:t>
      </w:r>
      <w:r w:rsidR="00653A2D">
        <w:t xml:space="preserve"> terms. These submissions do not assist </w:t>
      </w:r>
      <w:r w:rsidR="00653A2D" w:rsidRPr="00653A2D">
        <w:t>Samsung</w:t>
      </w:r>
      <w:r w:rsidR="00653A2D">
        <w:t xml:space="preserve"> in the present case because the parties are agreed that there should be an interim licence, and the </w:t>
      </w:r>
      <w:r w:rsidR="00FD4E67">
        <w:t xml:space="preserve">only </w:t>
      </w:r>
      <w:r w:rsidR="00653A2D">
        <w:t xml:space="preserve">dispute is </w:t>
      </w:r>
      <w:r w:rsidR="004549FF">
        <w:t xml:space="preserve">as to which court should determine </w:t>
      </w:r>
      <w:r w:rsidR="004549FF" w:rsidRPr="004549FF">
        <w:t>FRAND</w:t>
      </w:r>
      <w:r w:rsidR="004549FF">
        <w:t xml:space="preserve"> terms for the final cross-licence.</w:t>
      </w:r>
      <w:r w:rsidR="004A5030">
        <w:t xml:space="preserve"> </w:t>
      </w:r>
    </w:p>
    <w:p w14:paraId="226B62BC" w14:textId="0C3DBD08" w:rsidR="00651911" w:rsidRDefault="00496B91" w:rsidP="004563C6">
      <w:pPr>
        <w:pStyle w:val="ParaLevel1"/>
      </w:pPr>
      <w:r>
        <w:t xml:space="preserve">I agree with </w:t>
      </w:r>
      <w:r w:rsidR="00012C12" w:rsidRPr="00012C12">
        <w:t xml:space="preserve">Samsung </w:t>
      </w:r>
      <w:r w:rsidR="00012C12">
        <w:t xml:space="preserve">and </w:t>
      </w:r>
      <w:r w:rsidR="00012C12" w:rsidRPr="00012C12">
        <w:t xml:space="preserve">the judge </w:t>
      </w:r>
      <w:r w:rsidR="00012C12">
        <w:t>that t</w:t>
      </w:r>
      <w:r w:rsidR="003C4E88">
        <w:t>he starting point</w:t>
      </w:r>
      <w:r w:rsidR="00012C12">
        <w:t xml:space="preserve"> here</w:t>
      </w:r>
      <w:r w:rsidR="00A91602">
        <w:t xml:space="preserve"> is that the English courts were first sei</w:t>
      </w:r>
      <w:r w:rsidR="00805A2E">
        <w:t>s</w:t>
      </w:r>
      <w:r w:rsidR="00A91602">
        <w:t xml:space="preserve">ed </w:t>
      </w:r>
      <w:r w:rsidR="00991175">
        <w:t xml:space="preserve">of the dispute as to what terms for the final cross-licence are </w:t>
      </w:r>
      <w:r w:rsidR="00991175" w:rsidRPr="00991175">
        <w:t>FRAND</w:t>
      </w:r>
      <w:r w:rsidR="00991175">
        <w:t xml:space="preserve">. Although </w:t>
      </w:r>
      <w:r w:rsidR="00BC5570">
        <w:t xml:space="preserve">counsel for </w:t>
      </w:r>
      <w:r w:rsidR="00BC5570" w:rsidRPr="00BC5570">
        <w:t>ZTE</w:t>
      </w:r>
      <w:r w:rsidR="00BC5570">
        <w:t xml:space="preserve"> criticised </w:t>
      </w:r>
      <w:r w:rsidR="00BC5570" w:rsidRPr="00BC5570">
        <w:t>Samsung</w:t>
      </w:r>
      <w:r w:rsidR="00BC5570">
        <w:t xml:space="preserve"> for commencing </w:t>
      </w:r>
      <w:r w:rsidR="00526F03">
        <w:t>the proceedings</w:t>
      </w:r>
      <w:r w:rsidR="003442FB">
        <w:t xml:space="preserve"> when and in the manner they did, </w:t>
      </w:r>
      <w:r w:rsidR="003442FB" w:rsidRPr="003442FB">
        <w:t>the judge</w:t>
      </w:r>
      <w:r w:rsidR="003442FB">
        <w:t xml:space="preserve"> did not </w:t>
      </w:r>
      <w:r w:rsidR="00D46EEF">
        <w:t>accept</w:t>
      </w:r>
      <w:r w:rsidR="005456F9">
        <w:t xml:space="preserve"> </w:t>
      </w:r>
      <w:r w:rsidR="00BD4177">
        <w:t>this</w:t>
      </w:r>
      <w:r w:rsidR="005456F9">
        <w:t xml:space="preserve"> criticism and there is no challenge by </w:t>
      </w:r>
      <w:r w:rsidR="005456F9" w:rsidRPr="005456F9">
        <w:t>ZTE</w:t>
      </w:r>
      <w:r w:rsidR="00980DEA">
        <w:t xml:space="preserve"> to that aspect of his decision. </w:t>
      </w:r>
    </w:p>
    <w:p w14:paraId="2B4B6840" w14:textId="1991EAE8" w:rsidR="0098630D" w:rsidRDefault="00774ACC" w:rsidP="004563C6">
      <w:pPr>
        <w:pStyle w:val="ParaLevel1"/>
      </w:pPr>
      <w:r>
        <w:t xml:space="preserve">Counsel for </w:t>
      </w:r>
      <w:r w:rsidRPr="00774ACC">
        <w:t>Samsung</w:t>
      </w:r>
      <w:r>
        <w:t xml:space="preserve"> submitted that </w:t>
      </w:r>
      <w:r w:rsidR="00F87886">
        <w:t>the Patents Court</w:t>
      </w:r>
      <w:r>
        <w:t xml:space="preserve"> was a suitable forum for the determination of the dispute because </w:t>
      </w:r>
      <w:r w:rsidR="0018353C">
        <w:t xml:space="preserve">(i) it </w:t>
      </w:r>
      <w:r w:rsidR="008E7C0C">
        <w:t>i</w:t>
      </w:r>
      <w:r w:rsidR="0018353C">
        <w:t xml:space="preserve">s a neutral forum in the sense that neither of the parent companies </w:t>
      </w:r>
      <w:r w:rsidR="008E7C0C">
        <w:t>i</w:t>
      </w:r>
      <w:r w:rsidR="0018353C">
        <w:t xml:space="preserve">s domiciled here and (ii) it </w:t>
      </w:r>
      <w:r w:rsidR="008E7C0C">
        <w:t>i</w:t>
      </w:r>
      <w:r w:rsidR="0018353C">
        <w:t>s experience</w:t>
      </w:r>
      <w:r w:rsidR="008E7C0C">
        <w:t xml:space="preserve">d in </w:t>
      </w:r>
      <w:r w:rsidR="008E7C0C" w:rsidRPr="008E7C0C">
        <w:t>FRAND</w:t>
      </w:r>
      <w:r w:rsidR="008E7C0C">
        <w:t xml:space="preserve"> determination. I accept that submission</w:t>
      </w:r>
      <w:r w:rsidR="00D0070C">
        <w:t xml:space="preserve">, but it does not follow that other fora </w:t>
      </w:r>
      <w:r w:rsidR="002809B8">
        <w:t xml:space="preserve">would </w:t>
      </w:r>
      <w:r w:rsidR="00D0070C">
        <w:t xml:space="preserve">not </w:t>
      </w:r>
      <w:r w:rsidR="002809B8">
        <w:t xml:space="preserve">be equally </w:t>
      </w:r>
      <w:r w:rsidR="00EC667A">
        <w:t>suitable for the determination of the dispute.</w:t>
      </w:r>
      <w:r w:rsidR="00FE6B26">
        <w:t xml:space="preserve"> In that regard I would point out that the fact that </w:t>
      </w:r>
      <w:r w:rsidR="00A37CB3">
        <w:t xml:space="preserve">a particular forum does not yet have experience in </w:t>
      </w:r>
      <w:r w:rsidR="00A37CB3" w:rsidRPr="00A37CB3">
        <w:t>FRAND</w:t>
      </w:r>
      <w:r w:rsidR="00B64B60">
        <w:t xml:space="preserve"> determination does not mean that it would not be perfectly competent to do so. For example, there can be no doubt that the </w:t>
      </w:r>
      <w:r w:rsidR="00966609">
        <w:t>Munich I Regional Court</w:t>
      </w:r>
      <w:r w:rsidR="00790EB1">
        <w:t xml:space="preserve"> </w:t>
      </w:r>
      <w:r w:rsidR="00B64B60">
        <w:t>and</w:t>
      </w:r>
      <w:r w:rsidR="009C1653">
        <w:t xml:space="preserve"> the UPC would both be entirely competent </w:t>
      </w:r>
      <w:r w:rsidR="00C60D1B">
        <w:t xml:space="preserve">(in every sense) </w:t>
      </w:r>
      <w:r w:rsidR="009C1653">
        <w:t xml:space="preserve">to </w:t>
      </w:r>
      <w:r w:rsidR="00D12760">
        <w:t xml:space="preserve">undertake </w:t>
      </w:r>
      <w:r w:rsidR="00D12760" w:rsidRPr="00D12760">
        <w:t>FRAND</w:t>
      </w:r>
      <w:r w:rsidR="00D12760">
        <w:t xml:space="preserve"> determination</w:t>
      </w:r>
      <w:r w:rsidR="0098630D">
        <w:t xml:space="preserve"> as well as being neutral fora</w:t>
      </w:r>
      <w:r w:rsidR="00D12760">
        <w:t>.</w:t>
      </w:r>
    </w:p>
    <w:p w14:paraId="2EFE927C" w14:textId="45AC1E98" w:rsidR="0086275F" w:rsidRDefault="00D74D73" w:rsidP="004563C6">
      <w:pPr>
        <w:pStyle w:val="ParaLevel1"/>
      </w:pPr>
      <w:r>
        <w:t>T</w:t>
      </w:r>
      <w:r w:rsidR="0068489A">
        <w:t xml:space="preserve">he judge rejected Samsung’s criticisms of the Chongqing Court, and there is no challenge by Samsung to that </w:t>
      </w:r>
      <w:r w:rsidR="00DF5345">
        <w:t>part</w:t>
      </w:r>
      <w:r w:rsidR="0068489A">
        <w:t xml:space="preserve"> of his decision. It follows that, subject to the question of neutrality,</w:t>
      </w:r>
      <w:r w:rsidR="00357747">
        <w:t xml:space="preserve"> it is </w:t>
      </w:r>
      <w:r w:rsidR="00C33A49">
        <w:t xml:space="preserve">also </w:t>
      </w:r>
      <w:r w:rsidR="00357747">
        <w:t>a suitable forum</w:t>
      </w:r>
      <w:r>
        <w:t xml:space="preserve"> for the determination of the dispute.</w:t>
      </w:r>
      <w:r w:rsidR="00BD13B4">
        <w:t xml:space="preserve"> </w:t>
      </w:r>
    </w:p>
    <w:p w14:paraId="76ACF47C" w14:textId="7272CC85" w:rsidR="009C098A" w:rsidRDefault="00BD13B4" w:rsidP="004563C6">
      <w:pPr>
        <w:pStyle w:val="ParaLevel1"/>
      </w:pPr>
      <w:r>
        <w:t xml:space="preserve">The judge made no finding that </w:t>
      </w:r>
      <w:r w:rsidR="00223F59" w:rsidRPr="00223F59">
        <w:t>Chongqing</w:t>
      </w:r>
      <w:r w:rsidR="00223F59">
        <w:t xml:space="preserve"> was not a suitable forum because </w:t>
      </w:r>
      <w:r w:rsidR="00481276">
        <w:t xml:space="preserve">it </w:t>
      </w:r>
      <w:r w:rsidR="00E228AF">
        <w:t>i</w:t>
      </w:r>
      <w:r w:rsidR="00481276">
        <w:t xml:space="preserve">s </w:t>
      </w:r>
      <w:r w:rsidR="00EA7191">
        <w:t xml:space="preserve">located </w:t>
      </w:r>
      <w:r w:rsidR="003105EB">
        <w:t xml:space="preserve">in </w:t>
      </w:r>
      <w:r w:rsidR="003105EB" w:rsidRPr="003105EB">
        <w:t>ZTE</w:t>
      </w:r>
      <w:r w:rsidR="003105EB">
        <w:t>’s home state.</w:t>
      </w:r>
      <w:r w:rsidR="00EA7191">
        <w:t xml:space="preserve"> </w:t>
      </w:r>
      <w:r w:rsidR="00EA7191" w:rsidRPr="00EA7191">
        <w:t>Samsung</w:t>
      </w:r>
      <w:r w:rsidR="00EA7191">
        <w:t xml:space="preserve"> contend </w:t>
      </w:r>
      <w:r w:rsidR="0091278A">
        <w:t xml:space="preserve">by </w:t>
      </w:r>
      <w:r w:rsidR="00166DFD">
        <w:t>their</w:t>
      </w:r>
      <w:r w:rsidR="0091278A">
        <w:t xml:space="preserve"> respondents’ notice ground </w:t>
      </w:r>
      <w:r w:rsidR="007030C0">
        <w:t xml:space="preserve">1 </w:t>
      </w:r>
      <w:r w:rsidR="00EA7191">
        <w:t>that</w:t>
      </w:r>
      <w:r w:rsidR="00954F37">
        <w:t xml:space="preserve"> </w:t>
      </w:r>
      <w:r w:rsidR="001817FD">
        <w:t>it is inappropriate for</w:t>
      </w:r>
      <w:r w:rsidR="0091278A">
        <w:t xml:space="preserve"> </w:t>
      </w:r>
      <w:r w:rsidR="0091278A" w:rsidRPr="0091278A">
        <w:t>ZTE</w:t>
      </w:r>
      <w:r w:rsidR="0091278A">
        <w:t xml:space="preserve"> to </w:t>
      </w:r>
      <w:r w:rsidR="004246B1">
        <w:t xml:space="preserve">insist upon determination by a court in </w:t>
      </w:r>
      <w:r w:rsidR="00407326">
        <w:t>their</w:t>
      </w:r>
      <w:r w:rsidR="004246B1">
        <w:t xml:space="preserve"> home state</w:t>
      </w:r>
      <w:r w:rsidR="0086275F">
        <w:t>.</w:t>
      </w:r>
      <w:r w:rsidR="00767C84">
        <w:t xml:space="preserve"> </w:t>
      </w:r>
      <w:r w:rsidR="0086275F">
        <w:t xml:space="preserve">In support of that contention </w:t>
      </w:r>
      <w:r w:rsidR="00C04248" w:rsidRPr="00C04248">
        <w:t>Samsung</w:t>
      </w:r>
      <w:r w:rsidR="00C04248">
        <w:t xml:space="preserve"> rely upon</w:t>
      </w:r>
      <w:r w:rsidR="00383A7C">
        <w:t xml:space="preserve"> (i)</w:t>
      </w:r>
      <w:r w:rsidR="00C04248">
        <w:t xml:space="preserve"> the general p</w:t>
      </w:r>
      <w:r w:rsidR="00205A3C">
        <w:t xml:space="preserve">ractice in the arbitration of international </w:t>
      </w:r>
      <w:r w:rsidR="00383A7C">
        <w:t xml:space="preserve">commercial disputes of appointing arbitrators of neutral nationality and </w:t>
      </w:r>
      <w:r w:rsidR="00D72039">
        <w:t xml:space="preserve">(ii) the agreement by the parties that this would be appropriate in the present context (see paragraph </w:t>
      </w:r>
      <w:r w:rsidR="00F6261F">
        <w:t>39</w:t>
      </w:r>
      <w:r w:rsidR="00D72039">
        <w:t xml:space="preserve"> above). </w:t>
      </w:r>
      <w:r w:rsidR="009C098A">
        <w:t xml:space="preserve">Samsung </w:t>
      </w:r>
      <w:r w:rsidR="00942A60">
        <w:t>are care</w:t>
      </w:r>
      <w:r w:rsidR="00B731CA">
        <w:t>ful</w:t>
      </w:r>
      <w:r w:rsidR="00942A60">
        <w:t xml:space="preserve"> to make it clear, however, that they </w:t>
      </w:r>
      <w:r w:rsidR="00352D4A">
        <w:t>do</w:t>
      </w:r>
      <w:r w:rsidR="00942A60">
        <w:t xml:space="preserve"> not suggest that </w:t>
      </w:r>
      <w:r w:rsidR="00942A60" w:rsidRPr="00942A60">
        <w:t>the Chongqing Court</w:t>
      </w:r>
      <w:r w:rsidR="00942A60">
        <w:t xml:space="preserve"> is liable to be biased.</w:t>
      </w:r>
    </w:p>
    <w:p w14:paraId="2E5C0907" w14:textId="6D21E40D" w:rsidR="0068489A" w:rsidRDefault="00115CDB" w:rsidP="004563C6">
      <w:pPr>
        <w:pStyle w:val="ParaLevel1"/>
      </w:pPr>
      <w:r>
        <w:t>As counsel for ZTE submitted,</w:t>
      </w:r>
      <w:r w:rsidR="007C2202">
        <w:t xml:space="preserve"> </w:t>
      </w:r>
      <w:r w:rsidR="008C67A4" w:rsidRPr="008C67A4">
        <w:t>Samsung</w:t>
      </w:r>
      <w:r w:rsidR="008C67A4">
        <w:t>’s contention is con</w:t>
      </w:r>
      <w:r w:rsidR="00447113">
        <w:t xml:space="preserve">trary to </w:t>
      </w:r>
      <w:r w:rsidR="00EC62CD">
        <w:t>common</w:t>
      </w:r>
      <w:r w:rsidR="00352D4A">
        <w:t>ly-accepted</w:t>
      </w:r>
      <w:r w:rsidR="00447113">
        <w:t xml:space="preserve"> principles of private</w:t>
      </w:r>
      <w:r w:rsidR="00EC62CD">
        <w:t xml:space="preserve"> international law. </w:t>
      </w:r>
      <w:r w:rsidR="006D05AF">
        <w:t>By virtue of</w:t>
      </w:r>
      <w:r w:rsidR="00EC62CD">
        <w:t xml:space="preserve"> Article 4 of </w:t>
      </w:r>
      <w:r w:rsidR="00BF7C91" w:rsidRPr="00BF7C91">
        <w:t xml:space="preserve">European Parliament and Council </w:t>
      </w:r>
      <w:r w:rsidR="00D641E8" w:rsidRPr="00BF7C91">
        <w:t>Regulation 1215/2012</w:t>
      </w:r>
      <w:r w:rsidR="00BF7C91">
        <w:t>/EU</w:t>
      </w:r>
      <w:r w:rsidR="00D641E8" w:rsidRPr="00BF7C91">
        <w:t xml:space="preserve"> of 12 December 2012 on jurisdiction and the recognition and enforcement of judgments in civil and commercial matters (recast)</w:t>
      </w:r>
      <w:r w:rsidR="00D641E8">
        <w:rPr>
          <w:b/>
          <w:bCs/>
        </w:rPr>
        <w:t xml:space="preserve"> </w:t>
      </w:r>
      <w:r w:rsidR="00D641E8" w:rsidRPr="00BF7C91">
        <w:t>(</w:t>
      </w:r>
      <w:r w:rsidR="00EC62CD">
        <w:t>the Brussels I Regulation</w:t>
      </w:r>
      <w:r w:rsidR="00D641E8">
        <w:t>)</w:t>
      </w:r>
      <w:r w:rsidR="00EC62CD">
        <w:t xml:space="preserve">, </w:t>
      </w:r>
      <w:r w:rsidR="00196D73">
        <w:t xml:space="preserve">the </w:t>
      </w:r>
      <w:r w:rsidR="00992342">
        <w:t>normal rule of</w:t>
      </w:r>
      <w:r w:rsidR="00196D73">
        <w:t xml:space="preserve"> jurisdiction is that a defendant should be sued in the courts of the Member State in which it is domiciled. Other bases </w:t>
      </w:r>
      <w:r w:rsidR="00992342">
        <w:t xml:space="preserve">of jurisdiction are exceptions to that normal rule. </w:t>
      </w:r>
      <w:r w:rsidR="00AA7335">
        <w:t xml:space="preserve">Similarly, applying common law principles in </w:t>
      </w:r>
      <w:r w:rsidR="00E57861">
        <w:t xml:space="preserve">both the service out and </w:t>
      </w:r>
      <w:r w:rsidR="00E57861" w:rsidRPr="0019053D">
        <w:rPr>
          <w:i/>
          <w:iCs/>
        </w:rPr>
        <w:t>forum non conveniens</w:t>
      </w:r>
      <w:r w:rsidR="00E57861">
        <w:t xml:space="preserve"> contexts, the location of the parties is a factor </w:t>
      </w:r>
      <w:r w:rsidR="00CC328B">
        <w:t xml:space="preserve">favouring forum, not against it. It is true that </w:t>
      </w:r>
      <w:r w:rsidR="00CC328B" w:rsidRPr="00CC328B">
        <w:t>ZTE</w:t>
      </w:r>
      <w:r w:rsidR="00CC328B">
        <w:t xml:space="preserve"> is the claimant in </w:t>
      </w:r>
      <w:r w:rsidR="00CC328B" w:rsidRPr="00CC328B">
        <w:t>the Chongqing Court</w:t>
      </w:r>
      <w:r w:rsidR="00CC328B">
        <w:t>, not the defendant. It is also true that, on this basis, the courts of South Korea would be an equally suitable forum. The point remains that</w:t>
      </w:r>
      <w:r w:rsidR="0019053D">
        <w:t xml:space="preserve"> there can be no objection of principle to a party’s desire to litigate </w:t>
      </w:r>
      <w:r w:rsidR="00767D7B">
        <w:t>in</w:t>
      </w:r>
      <w:r w:rsidR="00090CFA">
        <w:t xml:space="preserve"> the courts of</w:t>
      </w:r>
      <w:r w:rsidR="00767D7B">
        <w:t xml:space="preserve"> its home state. Furthermore, as the judge recognised at [108]-[109] (see paragraph </w:t>
      </w:r>
      <w:r w:rsidR="00DC6717">
        <w:t>46</w:t>
      </w:r>
      <w:r w:rsidR="00767D7B">
        <w:t xml:space="preserve"> above), </w:t>
      </w:r>
      <w:r w:rsidR="00090CFA">
        <w:t xml:space="preserve">in the present case </w:t>
      </w:r>
      <w:r w:rsidR="00767D7B">
        <w:t xml:space="preserve">there are considerations of practicality which favour this, at least </w:t>
      </w:r>
      <w:r w:rsidR="00A63525">
        <w:t xml:space="preserve">when viewed from </w:t>
      </w:r>
      <w:r w:rsidR="00A63525" w:rsidRPr="00A63525">
        <w:t>ZTE</w:t>
      </w:r>
      <w:r w:rsidR="00A63525">
        <w:t xml:space="preserve">’s perspective. </w:t>
      </w:r>
      <w:r w:rsidR="00767D7B">
        <w:t xml:space="preserve"> </w:t>
      </w:r>
      <w:r w:rsidR="00CC328B">
        <w:t xml:space="preserve"> </w:t>
      </w:r>
      <w:r w:rsidR="00992342">
        <w:t xml:space="preserve"> </w:t>
      </w:r>
      <w:r w:rsidR="00447113">
        <w:t xml:space="preserve"> </w:t>
      </w:r>
      <w:r>
        <w:t xml:space="preserve"> </w:t>
      </w:r>
      <w:r w:rsidR="0086275F">
        <w:t xml:space="preserve"> </w:t>
      </w:r>
      <w:r w:rsidR="001817FD">
        <w:t xml:space="preserve"> </w:t>
      </w:r>
      <w:r w:rsidR="00EA7191">
        <w:t xml:space="preserve"> </w:t>
      </w:r>
      <w:r w:rsidR="003105EB">
        <w:t xml:space="preserve"> </w:t>
      </w:r>
      <w:r w:rsidR="00D74D73">
        <w:t xml:space="preserve"> </w:t>
      </w:r>
      <w:r w:rsidR="0068489A">
        <w:t xml:space="preserve"> </w:t>
      </w:r>
    </w:p>
    <w:p w14:paraId="0FD6DA7D" w14:textId="6199DA37" w:rsidR="00382488" w:rsidRDefault="00C364E5" w:rsidP="004563C6">
      <w:pPr>
        <w:pStyle w:val="ParaLevel1"/>
      </w:pPr>
      <w:r>
        <w:t>A</w:t>
      </w:r>
      <w:r w:rsidR="006E5CBF">
        <w:t xml:space="preserve">s </w:t>
      </w:r>
      <w:r w:rsidR="006E5CBF" w:rsidRPr="006E5CBF">
        <w:t>Samsung</w:t>
      </w:r>
      <w:r w:rsidR="006E5CBF">
        <w:t xml:space="preserve"> emphasise, </w:t>
      </w:r>
      <w:r w:rsidR="006E5CBF" w:rsidRPr="006E5CBF">
        <w:t>ZTE</w:t>
      </w:r>
      <w:r w:rsidR="006E5CBF">
        <w:t xml:space="preserve"> have not challenged the jurisdiction of </w:t>
      </w:r>
      <w:r w:rsidR="00314A1C">
        <w:t xml:space="preserve">the English courts. </w:t>
      </w:r>
      <w:r w:rsidR="007503C1">
        <w:t xml:space="preserve">Furthermore, </w:t>
      </w:r>
      <w:r w:rsidR="00297E1F">
        <w:t xml:space="preserve">as the judge noted, </w:t>
      </w:r>
      <w:r w:rsidR="007503C1">
        <w:t>although the interim licence terms</w:t>
      </w:r>
      <w:r w:rsidR="00C624D3">
        <w:t xml:space="preserve"> proposed by </w:t>
      </w:r>
      <w:r w:rsidR="00C624D3" w:rsidRPr="00C624D3">
        <w:t>ZTE</w:t>
      </w:r>
      <w:r w:rsidR="00C624D3">
        <w:t xml:space="preserve"> in March</w:t>
      </w:r>
      <w:r w:rsidR="00297E1F">
        <w:t xml:space="preserve"> would have </w:t>
      </w:r>
      <w:r w:rsidR="00111E86">
        <w:t xml:space="preserve">required the dismissal or stay of </w:t>
      </w:r>
      <w:r w:rsidR="00406304">
        <w:t>all other proceedings</w:t>
      </w:r>
      <w:r w:rsidR="005774BB">
        <w:t xml:space="preserve"> pending the determination of </w:t>
      </w:r>
      <w:r w:rsidR="005774BB" w:rsidRPr="005774BB">
        <w:t>the Chongqing Court</w:t>
      </w:r>
      <w:r w:rsidR="00111E86">
        <w:t>, revised terms proposed</w:t>
      </w:r>
      <w:r w:rsidR="00406304">
        <w:t xml:space="preserve"> by </w:t>
      </w:r>
      <w:r w:rsidR="00406304" w:rsidRPr="00406304">
        <w:t>ZTE</w:t>
      </w:r>
      <w:r w:rsidR="00406304">
        <w:t xml:space="preserve"> in April exce</w:t>
      </w:r>
      <w:r w:rsidR="005774BB">
        <w:t xml:space="preserve">pted these proceedings from </w:t>
      </w:r>
      <w:r w:rsidR="00B7647D">
        <w:t>that.</w:t>
      </w:r>
      <w:r w:rsidR="00C624D3">
        <w:t xml:space="preserve"> </w:t>
      </w:r>
      <w:r w:rsidR="00314A1C">
        <w:t>It follows tha</w:t>
      </w:r>
      <w:r w:rsidR="0017345B">
        <w:t>t</w:t>
      </w:r>
      <w:r w:rsidR="00583410">
        <w:t xml:space="preserve"> </w:t>
      </w:r>
      <w:r w:rsidR="00CE54A6" w:rsidRPr="00CE54A6">
        <w:t>the Patents Court</w:t>
      </w:r>
      <w:r w:rsidR="007E69F0">
        <w:t xml:space="preserve"> will determine what terms are </w:t>
      </w:r>
      <w:r w:rsidR="007E69F0" w:rsidRPr="007E69F0">
        <w:t>FRAND</w:t>
      </w:r>
      <w:r w:rsidR="00651911">
        <w:t xml:space="preserve"> at the trial scheduled</w:t>
      </w:r>
      <w:r>
        <w:t xml:space="preserve"> for 12 January 2026</w:t>
      </w:r>
      <w:r w:rsidR="00193D8D">
        <w:t xml:space="preserve"> whether the declarations made by the judge stand or not</w:t>
      </w:r>
      <w:r w:rsidR="002B5E76">
        <w:t>.</w:t>
      </w:r>
    </w:p>
    <w:p w14:paraId="126F204A" w14:textId="5D8CBFA4" w:rsidR="00882AF3" w:rsidRDefault="00717C0A" w:rsidP="004563C6">
      <w:pPr>
        <w:pStyle w:val="ParaLevel1"/>
      </w:pPr>
      <w:r w:rsidRPr="00717C0A">
        <w:t>Samsung</w:t>
      </w:r>
      <w:r>
        <w:t xml:space="preserve"> contend by their </w:t>
      </w:r>
      <w:r w:rsidR="00BB147B" w:rsidRPr="00BB147B">
        <w:t xml:space="preserve">respondents’ notice ground </w:t>
      </w:r>
      <w:r w:rsidR="00BB147B">
        <w:t xml:space="preserve">2 that </w:t>
      </w:r>
      <w:r w:rsidR="001F2D9B" w:rsidRPr="001F2D9B">
        <w:t>ZTE</w:t>
      </w:r>
      <w:r w:rsidR="001F2D9B">
        <w:t xml:space="preserve">’s </w:t>
      </w:r>
      <w:r w:rsidR="002E1B02">
        <w:t xml:space="preserve">proposed interim licence terms amount to a </w:t>
      </w:r>
      <w:r w:rsidR="002E1B02" w:rsidRPr="00E5258F">
        <w:rPr>
          <w:i/>
          <w:iCs/>
        </w:rPr>
        <w:t>forum non conveniens</w:t>
      </w:r>
      <w:r w:rsidR="002E1B02">
        <w:t xml:space="preserve"> challenge by the back door. </w:t>
      </w:r>
      <w:r w:rsidR="00E5258F">
        <w:t xml:space="preserve">As ZTE submit, however, this argument relies on a </w:t>
      </w:r>
      <w:r w:rsidR="00E5258F" w:rsidRPr="00FB6BFB">
        <w:rPr>
          <w:i/>
          <w:iCs/>
        </w:rPr>
        <w:t>non sequitur</w:t>
      </w:r>
      <w:r w:rsidR="00E5258F">
        <w:t xml:space="preserve">. </w:t>
      </w:r>
      <w:r w:rsidR="00FB6BFB">
        <w:t xml:space="preserve">It is undisputed that the English courts have jurisdiction to determine </w:t>
      </w:r>
      <w:r w:rsidR="00FB6BFB" w:rsidRPr="00FB6BFB">
        <w:t>Samsung</w:t>
      </w:r>
      <w:r w:rsidR="00FB6BFB">
        <w:t xml:space="preserve">’s claims, including their claim for a </w:t>
      </w:r>
      <w:r w:rsidR="00FB6BFB" w:rsidRPr="00FB6BFB">
        <w:t>FRAND</w:t>
      </w:r>
      <w:r w:rsidR="00FB6BFB">
        <w:t xml:space="preserve"> determination. </w:t>
      </w:r>
      <w:r w:rsidR="000C7095">
        <w:t xml:space="preserve">It does not follow, however, that </w:t>
      </w:r>
      <w:r w:rsidR="000C7095" w:rsidRPr="000C7095">
        <w:t>ZTE</w:t>
      </w:r>
      <w:r w:rsidR="000C7095">
        <w:t xml:space="preserve"> </w:t>
      </w:r>
      <w:r w:rsidR="007E2228">
        <w:t>are</w:t>
      </w:r>
      <w:r w:rsidR="000C7095">
        <w:t xml:space="preserve"> obliged to commit, in advance of the English </w:t>
      </w:r>
      <w:r w:rsidR="000C7095" w:rsidRPr="000C7095">
        <w:t>FRAND</w:t>
      </w:r>
      <w:r w:rsidR="000C7095">
        <w:t xml:space="preserve"> trial, to be bound by the </w:t>
      </w:r>
      <w:r w:rsidR="006B7702" w:rsidRPr="006B7702">
        <w:t>FRAND</w:t>
      </w:r>
      <w:r w:rsidR="006B7702">
        <w:t xml:space="preserve"> terms set by the English courts in</w:t>
      </w:r>
      <w:r w:rsidR="00FB6BFB">
        <w:t xml:space="preserve"> </w:t>
      </w:r>
      <w:r w:rsidR="006B7702">
        <w:t xml:space="preserve">preference to the terms set by </w:t>
      </w:r>
      <w:r w:rsidR="006B7702" w:rsidRPr="006B7702">
        <w:t>the Chongqing Court</w:t>
      </w:r>
      <w:r w:rsidR="006B7702">
        <w:t xml:space="preserve">. </w:t>
      </w:r>
    </w:p>
    <w:p w14:paraId="35EA3BAE" w14:textId="78EE9825" w:rsidR="00482009" w:rsidRDefault="005D5426" w:rsidP="004563C6">
      <w:pPr>
        <w:pStyle w:val="ParaLevel1"/>
      </w:pPr>
      <w:r>
        <w:t>As</w:t>
      </w:r>
      <w:r w:rsidR="00482009">
        <w:t xml:space="preserve"> </w:t>
      </w:r>
      <w:r w:rsidR="00482009" w:rsidRPr="00482009">
        <w:t>ZTE</w:t>
      </w:r>
      <w:r w:rsidR="00482009">
        <w:t xml:space="preserve"> emphasise, </w:t>
      </w:r>
      <w:r w:rsidR="00482009" w:rsidRPr="00482009">
        <w:t>Samsung</w:t>
      </w:r>
      <w:r w:rsidR="00482009">
        <w:t xml:space="preserve">’s challenge to the jurisdiction of </w:t>
      </w:r>
      <w:r w:rsidR="00482009" w:rsidRPr="00482009">
        <w:t>the Chongqing Court</w:t>
      </w:r>
      <w:r w:rsidR="00482009">
        <w:t xml:space="preserve"> has failed. </w:t>
      </w:r>
      <w:r w:rsidR="00BD01F0">
        <w:t xml:space="preserve">Hence </w:t>
      </w:r>
      <w:r w:rsidR="00BD01F0" w:rsidRPr="00BD01F0">
        <w:t>the Chongqing Court</w:t>
      </w:r>
      <w:r w:rsidR="00BD01F0">
        <w:t xml:space="preserve"> is already enga</w:t>
      </w:r>
      <w:r w:rsidR="000953DC">
        <w:t xml:space="preserve">ged in </w:t>
      </w:r>
      <w:r w:rsidR="000953DC" w:rsidRPr="000953DC">
        <w:t>FRAND</w:t>
      </w:r>
      <w:r w:rsidR="000953DC">
        <w:t xml:space="preserve"> determination.</w:t>
      </w:r>
    </w:p>
    <w:p w14:paraId="34C8F337" w14:textId="4FE129D2" w:rsidR="00112940" w:rsidRDefault="002D0158" w:rsidP="004563C6">
      <w:pPr>
        <w:pStyle w:val="ParaLevel1"/>
      </w:pPr>
      <w:r>
        <w:t xml:space="preserve">This means that, as the judge </w:t>
      </w:r>
      <w:r w:rsidR="00974FE7">
        <w:t>rightly concluded</w:t>
      </w:r>
      <w:r>
        <w:t>, the proceedings</w:t>
      </w:r>
      <w:r w:rsidR="00974FE7">
        <w:t xml:space="preserve"> brought by </w:t>
      </w:r>
      <w:r w:rsidR="00974FE7" w:rsidRPr="00974FE7">
        <w:t>ZTE</w:t>
      </w:r>
      <w:r w:rsidR="00974FE7">
        <w:t xml:space="preserve"> in </w:t>
      </w:r>
      <w:r w:rsidR="00974FE7" w:rsidRPr="00974FE7">
        <w:t>Chongqing</w:t>
      </w:r>
      <w:r w:rsidR="00974FE7">
        <w:t xml:space="preserve"> are </w:t>
      </w:r>
      <w:r w:rsidR="00F23ABD">
        <w:t>unnecessary and duplicative. At best, they have led to a</w:t>
      </w:r>
      <w:r w:rsidR="00A86630">
        <w:t xml:space="preserve"> significant</w:t>
      </w:r>
      <w:r w:rsidR="00F23ABD">
        <w:t xml:space="preserve"> increase in costs</w:t>
      </w:r>
      <w:r w:rsidR="00A86630">
        <w:t xml:space="preserve"> for both parties for no </w:t>
      </w:r>
      <w:r w:rsidR="00EB35C2">
        <w:t>good reason</w:t>
      </w:r>
      <w:r w:rsidR="00A86630">
        <w:t>.</w:t>
      </w:r>
      <w:r w:rsidR="00EB35C2">
        <w:t xml:space="preserve"> </w:t>
      </w:r>
      <w:r w:rsidR="007321A9">
        <w:t xml:space="preserve">Worse, </w:t>
      </w:r>
      <w:r w:rsidR="00A91E7E">
        <w:t>this</w:t>
      </w:r>
      <w:r w:rsidR="007321A9">
        <w:t xml:space="preserve"> creates a real risk of inconsistent decisions. </w:t>
      </w:r>
      <w:r w:rsidR="004E2539">
        <w:t xml:space="preserve">These are precisely </w:t>
      </w:r>
      <w:r w:rsidR="007030C0">
        <w:t xml:space="preserve">the </w:t>
      </w:r>
      <w:r w:rsidR="004E2539">
        <w:t xml:space="preserve">problems I identified in </w:t>
      </w:r>
      <w:r w:rsidR="004E2539" w:rsidRPr="00FE7FE4">
        <w:rPr>
          <w:i/>
          <w:iCs/>
        </w:rPr>
        <w:t>Nokia v OPPO</w:t>
      </w:r>
      <w:r w:rsidR="004E2539">
        <w:t xml:space="preserve"> at [16].</w:t>
      </w:r>
    </w:p>
    <w:p w14:paraId="089B366D" w14:textId="6BAEA628" w:rsidR="00274A23" w:rsidRDefault="00C32CC1" w:rsidP="004563C6">
      <w:pPr>
        <w:pStyle w:val="ParaLevel1"/>
      </w:pPr>
      <w:r>
        <w:t>It is important to recognise</w:t>
      </w:r>
      <w:r w:rsidR="004C6996">
        <w:t>, however,</w:t>
      </w:r>
      <w:r>
        <w:t xml:space="preserve"> that, i</w:t>
      </w:r>
      <w:r w:rsidR="003F09E0">
        <w:t>f</w:t>
      </w:r>
      <w:r w:rsidR="00AB232F">
        <w:t xml:space="preserve"> </w:t>
      </w:r>
      <w:r w:rsidR="00AB232F" w:rsidRPr="00AB232F">
        <w:t>ZTE</w:t>
      </w:r>
      <w:r w:rsidR="00AB232F">
        <w:t xml:space="preserve"> had commenced proceedings </w:t>
      </w:r>
      <w:r w:rsidR="00EC25B4">
        <w:t>in</w:t>
      </w:r>
      <w:r w:rsidR="00EC25B4" w:rsidRPr="00EC25B4">
        <w:rPr>
          <w:szCs w:val="24"/>
        </w:rPr>
        <w:t xml:space="preserve"> </w:t>
      </w:r>
      <w:r w:rsidR="00EC25B4" w:rsidRPr="00EC25B4">
        <w:t>the Chongqing Court</w:t>
      </w:r>
      <w:r w:rsidR="00EC25B4">
        <w:t xml:space="preserve"> first, the boot would have been on the other foot</w:t>
      </w:r>
      <w:r w:rsidR="006C45A5">
        <w:t>. In those circumstances, any proceedings</w:t>
      </w:r>
      <w:r>
        <w:t xml:space="preserve"> brought by </w:t>
      </w:r>
      <w:r w:rsidRPr="00C32CC1">
        <w:t>Samsung</w:t>
      </w:r>
      <w:r>
        <w:t xml:space="preserve"> </w:t>
      </w:r>
      <w:r w:rsidR="00EA3153">
        <w:t xml:space="preserve">in England </w:t>
      </w:r>
      <w:r>
        <w:t xml:space="preserve">would have been equally </w:t>
      </w:r>
      <w:r w:rsidR="0047534B">
        <w:t>unnecessary and duplicative.</w:t>
      </w:r>
    </w:p>
    <w:p w14:paraId="6BFE19E4" w14:textId="5945CF59" w:rsidR="004413F2" w:rsidRDefault="00DA6444" w:rsidP="004563C6">
      <w:pPr>
        <w:pStyle w:val="ParaLevel1"/>
      </w:pPr>
      <w:r w:rsidRPr="00DA6444">
        <w:t>ZTE</w:t>
      </w:r>
      <w:r>
        <w:t xml:space="preserve"> contend that, although </w:t>
      </w:r>
      <w:r w:rsidRPr="00DA6444">
        <w:t>the judge</w:t>
      </w:r>
      <w:r w:rsidR="00CF4E7B">
        <w:t xml:space="preserve"> </w:t>
      </w:r>
      <w:r w:rsidR="00287A4F">
        <w:t xml:space="preserve">said </w:t>
      </w:r>
      <w:r w:rsidR="00D35AD7">
        <w:t xml:space="preserve">that </w:t>
      </w:r>
      <w:r w:rsidR="004D7ECD">
        <w:t xml:space="preserve">“first seised” </w:t>
      </w:r>
      <w:r w:rsidR="00D35AD7">
        <w:t>w</w:t>
      </w:r>
      <w:r w:rsidR="004D7ECD">
        <w:t xml:space="preserve">as </w:t>
      </w:r>
      <w:r w:rsidR="00D35AD7">
        <w:t>“</w:t>
      </w:r>
      <w:r w:rsidR="004D7ECD">
        <w:t>a tie breaker</w:t>
      </w:r>
      <w:r w:rsidR="00D35AD7">
        <w:t xml:space="preserve"> in an appropriate case”</w:t>
      </w:r>
      <w:r w:rsidR="00280FF1">
        <w:t xml:space="preserve"> rather than</w:t>
      </w:r>
      <w:r w:rsidR="00287A4F">
        <w:t xml:space="preserve"> a </w:t>
      </w:r>
      <w:r w:rsidR="00D35AD7">
        <w:t>“</w:t>
      </w:r>
      <w:r w:rsidR="00287A4F">
        <w:t>trump card</w:t>
      </w:r>
      <w:r w:rsidR="00D35AD7">
        <w:t>”</w:t>
      </w:r>
      <w:r w:rsidR="00F94395">
        <w:t xml:space="preserve"> ([119] quoted in paragraph </w:t>
      </w:r>
      <w:r w:rsidR="009334A4">
        <w:t>48</w:t>
      </w:r>
      <w:r w:rsidR="00F94395">
        <w:t xml:space="preserve"> above), in </w:t>
      </w:r>
      <w:r w:rsidR="00F87EB1">
        <w:t>reality his reasoning</w:t>
      </w:r>
      <w:r w:rsidR="00280FF1">
        <w:t xml:space="preserve"> depend</w:t>
      </w:r>
      <w:r w:rsidR="0081124F">
        <w:t xml:space="preserve">s on </w:t>
      </w:r>
      <w:r w:rsidR="00F152A9">
        <w:t xml:space="preserve">treating which court </w:t>
      </w:r>
      <w:r w:rsidR="006B5AF3">
        <w:t>was first seised as determinative</w:t>
      </w:r>
      <w:r w:rsidR="00FE3B38">
        <w:t xml:space="preserve"> of the question of whether </w:t>
      </w:r>
      <w:r w:rsidR="00F90EF4" w:rsidRPr="00F90EF4">
        <w:t>ZTE</w:t>
      </w:r>
      <w:r w:rsidR="00F90EF4">
        <w:t xml:space="preserve"> is acting in bad faith</w:t>
      </w:r>
      <w:r w:rsidR="002A24EB">
        <w:t xml:space="preserve"> by </w:t>
      </w:r>
      <w:r w:rsidR="001E068C">
        <w:t>attempting</w:t>
      </w:r>
      <w:r w:rsidR="002A24EB">
        <w:t xml:space="preserve"> to </w:t>
      </w:r>
      <w:r w:rsidR="003220D5">
        <w:t xml:space="preserve">force </w:t>
      </w:r>
      <w:r w:rsidR="003220D5" w:rsidRPr="003220D5">
        <w:t>Samsung</w:t>
      </w:r>
      <w:r w:rsidR="003220D5">
        <w:t xml:space="preserve"> to agree to </w:t>
      </w:r>
      <w:r w:rsidR="001E068C">
        <w:t xml:space="preserve">determination by </w:t>
      </w:r>
      <w:r w:rsidR="001E068C" w:rsidRPr="001E068C">
        <w:t>the Chongqing Court</w:t>
      </w:r>
      <w:r w:rsidR="006B5AF3">
        <w:t>.</w:t>
      </w:r>
      <w:r w:rsidR="00F90EF4">
        <w:t xml:space="preserve"> I agree with this</w:t>
      </w:r>
      <w:r w:rsidR="00396F5C">
        <w:t>, as I shall explain</w:t>
      </w:r>
      <w:r w:rsidR="00F90EF4">
        <w:t>.</w:t>
      </w:r>
      <w:r w:rsidR="006B5AF3">
        <w:t xml:space="preserve"> </w:t>
      </w:r>
      <w:r w:rsidR="00280FF1">
        <w:t xml:space="preserve"> </w:t>
      </w:r>
      <w:r w:rsidR="00F94395">
        <w:t xml:space="preserve"> </w:t>
      </w:r>
      <w:r w:rsidR="004D7ECD">
        <w:t xml:space="preserve">  </w:t>
      </w:r>
      <w:r w:rsidR="00CF4E7B">
        <w:t xml:space="preserve"> </w:t>
      </w:r>
      <w:r w:rsidR="0047534B">
        <w:t xml:space="preserve">  </w:t>
      </w:r>
      <w:r w:rsidR="006C45A5">
        <w:t xml:space="preserve"> </w:t>
      </w:r>
      <w:r w:rsidR="00EC25B4">
        <w:t xml:space="preserve"> </w:t>
      </w:r>
      <w:r w:rsidR="00A86630">
        <w:t xml:space="preserve">  </w:t>
      </w:r>
      <w:r w:rsidR="002D0158">
        <w:t xml:space="preserve">  </w:t>
      </w:r>
      <w:r w:rsidR="00457821">
        <w:t xml:space="preserve"> </w:t>
      </w:r>
      <w:r w:rsidR="00D12760">
        <w:t xml:space="preserve"> </w:t>
      </w:r>
      <w:r w:rsidR="009C1653">
        <w:t xml:space="preserve"> </w:t>
      </w:r>
      <w:r w:rsidR="00B64B60">
        <w:t xml:space="preserve"> </w:t>
      </w:r>
      <w:r w:rsidR="0018353C">
        <w:t xml:space="preserve"> </w:t>
      </w:r>
      <w:r w:rsidR="00980DEA">
        <w:t xml:space="preserve"> </w:t>
      </w:r>
    </w:p>
    <w:p w14:paraId="4B510839" w14:textId="7DFFB7CA" w:rsidR="007F3F23" w:rsidRDefault="002B7AB8" w:rsidP="004563C6">
      <w:pPr>
        <w:pStyle w:val="ParaLevel1"/>
      </w:pPr>
      <w:r>
        <w:t xml:space="preserve">Against that background, I </w:t>
      </w:r>
      <w:r w:rsidR="00E879C3">
        <w:t>can now turn to the issue of principle.</w:t>
      </w:r>
      <w:r w:rsidR="00F47C1B">
        <w:t xml:space="preserve"> </w:t>
      </w:r>
      <w:r w:rsidR="0062041D">
        <w:t>In my judgment, unless there is a legitimate and substantiated</w:t>
      </w:r>
      <w:r w:rsidR="007B7280">
        <w:t xml:space="preserve"> objection to</w:t>
      </w:r>
      <w:r w:rsidR="0075600C">
        <w:t xml:space="preserve"> the </w:t>
      </w:r>
      <w:r w:rsidR="00583932">
        <w:t xml:space="preserve">forum in question, </w:t>
      </w:r>
      <w:r w:rsidR="007F1769" w:rsidRPr="007F1769">
        <w:t xml:space="preserve">it </w:t>
      </w:r>
      <w:r w:rsidR="00583932">
        <w:t xml:space="preserve">does not </w:t>
      </w:r>
      <w:r w:rsidR="007F1769" w:rsidRPr="007F1769">
        <w:t xml:space="preserve">constitute bad faith for a SEP owner </w:t>
      </w:r>
      <w:r w:rsidR="00153F15">
        <w:t xml:space="preserve">to seek to force an implementer </w:t>
      </w:r>
      <w:r w:rsidR="007F1769" w:rsidRPr="007F1769">
        <w:t>to accept determination of FRAND terms by the SEP holder’s preferred court rather than the implementer’s preferred court</w:t>
      </w:r>
      <w:r w:rsidR="00153F15">
        <w:t>.</w:t>
      </w:r>
    </w:p>
    <w:p w14:paraId="7BF2C505" w14:textId="311DAC51" w:rsidR="006C77DD" w:rsidRDefault="007F3F23" w:rsidP="004563C6">
      <w:pPr>
        <w:pStyle w:val="ParaLevel1"/>
      </w:pPr>
      <w:r w:rsidRPr="00265685">
        <w:rPr>
          <w:i/>
          <w:iCs/>
        </w:rPr>
        <w:t>If</w:t>
      </w:r>
      <w:r w:rsidR="0075600C" w:rsidRPr="00265685">
        <w:rPr>
          <w:i/>
          <w:iCs/>
        </w:rPr>
        <w:t xml:space="preserve"> </w:t>
      </w:r>
      <w:r w:rsidR="00265685">
        <w:t xml:space="preserve">(and I emphasise if) </w:t>
      </w:r>
      <w:r w:rsidR="0075600C">
        <w:t>there is a legit</w:t>
      </w:r>
      <w:r w:rsidR="00922EA9">
        <w:t>i</w:t>
      </w:r>
      <w:r w:rsidR="0075600C">
        <w:t>mate and</w:t>
      </w:r>
      <w:r w:rsidR="00922EA9">
        <w:t xml:space="preserve"> substantiated objection to </w:t>
      </w:r>
      <w:r w:rsidR="007C3A2B" w:rsidRPr="007C3A2B">
        <w:t>determination of FRAND terms by</w:t>
      </w:r>
      <w:r w:rsidR="007C3A2B">
        <w:t xml:space="preserve"> the forum in question, </w:t>
      </w:r>
      <w:r w:rsidR="00B11B0A">
        <w:t xml:space="preserve">then </w:t>
      </w:r>
      <w:r w:rsidR="0028570A">
        <w:t xml:space="preserve">there </w:t>
      </w:r>
      <w:r w:rsidR="0028570A" w:rsidRPr="00265685">
        <w:rPr>
          <w:i/>
          <w:iCs/>
        </w:rPr>
        <w:t>may</w:t>
      </w:r>
      <w:r w:rsidR="00265685">
        <w:t xml:space="preserve"> (and I emphasise may)</w:t>
      </w:r>
      <w:r w:rsidR="0028570A">
        <w:t xml:space="preserve"> </w:t>
      </w:r>
      <w:r w:rsidR="005D5DBB">
        <w:t xml:space="preserve">in </w:t>
      </w:r>
      <w:r w:rsidR="00197FBA">
        <w:t xml:space="preserve">an </w:t>
      </w:r>
      <w:r w:rsidR="005D5DBB">
        <w:t xml:space="preserve">appropriate case </w:t>
      </w:r>
      <w:r w:rsidR="0028570A">
        <w:t xml:space="preserve">be a remedy by way of </w:t>
      </w:r>
      <w:r w:rsidR="004D6050">
        <w:t xml:space="preserve">an anti-suit injunction. In the present case, however, </w:t>
      </w:r>
      <w:r w:rsidR="002268D1">
        <w:t>both parties have</w:t>
      </w:r>
      <w:r w:rsidR="004D6050">
        <w:t xml:space="preserve"> </w:t>
      </w:r>
      <w:r w:rsidR="00DD3B52">
        <w:t>laudably</w:t>
      </w:r>
      <w:r w:rsidR="002268D1">
        <w:t xml:space="preserve"> refrained from seeking anti-suit injunctions: Samsung have not applied to the English courts for an injunction restraining ZTE from pursuing the proceedings in Chongqing, nor have ZTE applied to the Chongqing Court for an injunction restraining Samsung from pursuing the English proceedings.</w:t>
      </w:r>
      <w:r w:rsidR="00DF4F5E">
        <w:t xml:space="preserve"> (</w:t>
      </w:r>
      <w:r w:rsidR="00832FD2" w:rsidRPr="00832FD2">
        <w:t>ZTE</w:t>
      </w:r>
      <w:r w:rsidR="00832FD2">
        <w:t xml:space="preserve">’s application in respect of </w:t>
      </w:r>
      <w:r w:rsidR="00832FD2" w:rsidRPr="00832FD2">
        <w:t>Samsung</w:t>
      </w:r>
      <w:r w:rsidR="00832FD2">
        <w:t xml:space="preserve">’s </w:t>
      </w:r>
      <w:r w:rsidR="00832FD2" w:rsidRPr="00832FD2">
        <w:t>ETSI</w:t>
      </w:r>
      <w:r w:rsidR="00832FD2">
        <w:t xml:space="preserve"> complaint stands in a completely different position.)</w:t>
      </w:r>
    </w:p>
    <w:p w14:paraId="6045B315" w14:textId="34A8CD67" w:rsidR="00000D43" w:rsidRDefault="006C77DD" w:rsidP="004563C6">
      <w:pPr>
        <w:pStyle w:val="ParaLevel1"/>
      </w:pPr>
      <w:r>
        <w:t xml:space="preserve">Whether or not anti-suit </w:t>
      </w:r>
      <w:r w:rsidR="007C4838">
        <w:t>relief would be available if there were</w:t>
      </w:r>
      <w:r w:rsidR="007C4838" w:rsidRPr="007C4838">
        <w:rPr>
          <w:szCs w:val="24"/>
        </w:rPr>
        <w:t xml:space="preserve"> </w:t>
      </w:r>
      <w:r w:rsidR="007C4838" w:rsidRPr="007C4838">
        <w:t>a legitimate and substantiated objection to determination of FRAND terms by the Chongqing Court</w:t>
      </w:r>
      <w:r w:rsidR="007C4838">
        <w:t xml:space="preserve">, </w:t>
      </w:r>
      <w:r w:rsidR="00B15262" w:rsidRPr="00B15262">
        <w:t>Samsung</w:t>
      </w:r>
      <w:r w:rsidR="00B15262">
        <w:t xml:space="preserve"> have not </w:t>
      </w:r>
      <w:r w:rsidR="009715CE">
        <w:t>substantiated</w:t>
      </w:r>
      <w:r w:rsidR="00DB1E3A">
        <w:t xml:space="preserve"> any </w:t>
      </w:r>
      <w:r w:rsidR="009715CE">
        <w:t>legitimate</w:t>
      </w:r>
      <w:r w:rsidR="00DB1E3A">
        <w:t xml:space="preserve"> objectio</w:t>
      </w:r>
      <w:r w:rsidR="00B20ABD">
        <w:t>n</w:t>
      </w:r>
      <w:r w:rsidR="00000D43">
        <w:t xml:space="preserve"> to this</w:t>
      </w:r>
      <w:r w:rsidR="00B20ABD">
        <w:t>.</w:t>
      </w:r>
      <w:r w:rsidR="00000D43">
        <w:t xml:space="preserve"> Indeed, </w:t>
      </w:r>
      <w:r w:rsidR="00080A2E">
        <w:t xml:space="preserve">as the judge noted, </w:t>
      </w:r>
      <w:r w:rsidR="00000D43">
        <w:t xml:space="preserve">Samsung have </w:t>
      </w:r>
      <w:r w:rsidR="00080A2E">
        <w:t>not seriously</w:t>
      </w:r>
      <w:r w:rsidR="00000D43">
        <w:t xml:space="preserve"> attempted to do so.</w:t>
      </w:r>
    </w:p>
    <w:p w14:paraId="5FBC5C2F" w14:textId="51E7F791" w:rsidR="002710C7" w:rsidRDefault="00AF35CF" w:rsidP="004563C6">
      <w:pPr>
        <w:pStyle w:val="ParaLevel1"/>
      </w:pPr>
      <w:r>
        <w:t xml:space="preserve">If it is not illegitimate for </w:t>
      </w:r>
      <w:r w:rsidRPr="00AF35CF">
        <w:t>the Chongqing Court</w:t>
      </w:r>
      <w:r>
        <w:t xml:space="preserve"> to determine </w:t>
      </w:r>
      <w:r w:rsidRPr="00AF35CF">
        <w:t>FRAND</w:t>
      </w:r>
      <w:r>
        <w:t xml:space="preserve"> terms</w:t>
      </w:r>
      <w:r w:rsidR="00E72F76">
        <w:t xml:space="preserve">, I do not see how it can be bad faith for </w:t>
      </w:r>
      <w:r w:rsidR="00E72F76" w:rsidRPr="00E72F76">
        <w:t>ZTE</w:t>
      </w:r>
      <w:r w:rsidR="00E72F76">
        <w:t xml:space="preserve"> to use </w:t>
      </w:r>
      <w:r w:rsidR="00117A07">
        <w:t xml:space="preserve">legal proceedings which it is not suggested are not otherwise properly open to </w:t>
      </w:r>
      <w:r w:rsidR="00950633">
        <w:t>ZTE</w:t>
      </w:r>
      <w:r w:rsidR="00685E85">
        <w:t xml:space="preserve"> to put pressure on </w:t>
      </w:r>
      <w:r w:rsidR="00685E85" w:rsidRPr="00685E85">
        <w:t>Samsung</w:t>
      </w:r>
      <w:r w:rsidR="00685E85">
        <w:t xml:space="preserve"> to agree to that course</w:t>
      </w:r>
      <w:r w:rsidR="008F289B">
        <w:t xml:space="preserve">. Such conduct </w:t>
      </w:r>
      <w:r w:rsidR="00F91B54">
        <w:t>is</w:t>
      </w:r>
      <w:r w:rsidR="008F289B">
        <w:t xml:space="preserve"> unattractive, and I </w:t>
      </w:r>
      <w:r w:rsidR="002D297F">
        <w:t xml:space="preserve">should </w:t>
      </w:r>
      <w:r w:rsidR="008F289B">
        <w:t xml:space="preserve">not </w:t>
      </w:r>
      <w:r w:rsidR="002D297F">
        <w:t>be taken to endorse</w:t>
      </w:r>
      <w:r w:rsidR="008F289B">
        <w:t xml:space="preserve"> it, but</w:t>
      </w:r>
      <w:r w:rsidR="002D297F">
        <w:t xml:space="preserve"> </w:t>
      </w:r>
      <w:r w:rsidR="00377522">
        <w:t xml:space="preserve">that is not sufficient to </w:t>
      </w:r>
      <w:r w:rsidR="009F3C6F">
        <w:t>constitute bad faith.</w:t>
      </w:r>
      <w:r w:rsidR="0057003E">
        <w:t xml:space="preserve"> </w:t>
      </w:r>
    </w:p>
    <w:p w14:paraId="16FCDE58" w14:textId="7597C630" w:rsidR="00B86567" w:rsidRDefault="0057003E" w:rsidP="004563C6">
      <w:pPr>
        <w:pStyle w:val="ParaLevel1"/>
      </w:pPr>
      <w:r>
        <w:t>As</w:t>
      </w:r>
      <w:r w:rsidR="007B20E2">
        <w:t xml:space="preserve"> I have explained in numerous judgments</w:t>
      </w:r>
      <w:r>
        <w:t>, a SEP</w:t>
      </w:r>
      <w:r w:rsidR="008A52D0">
        <w:t xml:space="preserve"> portfolio </w:t>
      </w:r>
      <w:r w:rsidR="008A3D2B">
        <w:t>will</w:t>
      </w:r>
      <w:r w:rsidR="008A52D0">
        <w:t xml:space="preserve"> typically</w:t>
      </w:r>
      <w:r w:rsidR="008A3D2B">
        <w:t xml:space="preserve"> include patents which subsist in multiple jurisdictions.</w:t>
      </w:r>
      <w:r w:rsidR="008A52D0">
        <w:t xml:space="preserve"> </w:t>
      </w:r>
      <w:r w:rsidR="00396E2E">
        <w:t>P</w:t>
      </w:r>
      <w:r w:rsidR="000E47FA">
        <w:t>atent</w:t>
      </w:r>
      <w:r w:rsidR="00396E2E">
        <w:t>s are territorial</w:t>
      </w:r>
      <w:r w:rsidR="00AF10C3">
        <w:t>,</w:t>
      </w:r>
      <w:r w:rsidR="00396E2E">
        <w:t xml:space="preserve"> but </w:t>
      </w:r>
      <w:r w:rsidR="000E47FA">
        <w:t xml:space="preserve">the contractual </w:t>
      </w:r>
      <w:r w:rsidR="005C734C">
        <w:t>defence provided by the FRAND obligation</w:t>
      </w:r>
      <w:r w:rsidR="00396E2E">
        <w:t xml:space="preserve"> is </w:t>
      </w:r>
      <w:r w:rsidR="00AF10C3">
        <w:t>global</w:t>
      </w:r>
      <w:r w:rsidR="005C734C">
        <w:t xml:space="preserve">. </w:t>
      </w:r>
      <w:r w:rsidR="00437ECA">
        <w:t>It follows that the</w:t>
      </w:r>
      <w:r w:rsidR="003A2EB3">
        <w:t xml:space="preserve"> possibilit</w:t>
      </w:r>
      <w:r w:rsidR="00AF10C3">
        <w:t xml:space="preserve">ies </w:t>
      </w:r>
      <w:r w:rsidR="00B44056">
        <w:t xml:space="preserve">both </w:t>
      </w:r>
      <w:r w:rsidR="00AF10C3">
        <w:t xml:space="preserve">of parallel </w:t>
      </w:r>
      <w:r w:rsidR="006F45D1">
        <w:t>SEP infringement proceedings and parallel</w:t>
      </w:r>
      <w:r w:rsidR="003A2EB3">
        <w:t xml:space="preserve"> FRAND determinations </w:t>
      </w:r>
      <w:r w:rsidR="00B44056">
        <w:t>in multiple jurisdictions are</w:t>
      </w:r>
      <w:r w:rsidR="003A2EB3">
        <w:t xml:space="preserve"> inherent in the </w:t>
      </w:r>
      <w:r w:rsidR="00162D1D">
        <w:t xml:space="preserve">current </w:t>
      </w:r>
      <w:r w:rsidR="003A2EB3">
        <w:t>system.</w:t>
      </w:r>
      <w:r w:rsidR="002710C7">
        <w:t xml:space="preserve"> T</w:t>
      </w:r>
      <w:r w:rsidR="00777DE0">
        <w:t xml:space="preserve">he principled answer to this might be that </w:t>
      </w:r>
      <w:r w:rsidR="002710C7">
        <w:t xml:space="preserve">the court first </w:t>
      </w:r>
      <w:r w:rsidR="00996D0C">
        <w:t>s</w:t>
      </w:r>
      <w:r w:rsidR="002710C7">
        <w:t>e</w:t>
      </w:r>
      <w:r w:rsidR="00996D0C">
        <w:t>i</w:t>
      </w:r>
      <w:r w:rsidR="002710C7">
        <w:t xml:space="preserve">sed </w:t>
      </w:r>
      <w:r w:rsidR="007C3611">
        <w:t xml:space="preserve">should determine what terms are FRAND, but that answer has a number of negative consequences. </w:t>
      </w:r>
      <w:r w:rsidR="00A6650C">
        <w:t>One of these is that it encourages forum shopping</w:t>
      </w:r>
      <w:r w:rsidR="00A82D9E">
        <w:t xml:space="preserve"> by pre-emptive commencement of proceedings</w:t>
      </w:r>
      <w:r w:rsidR="00BB35E5">
        <w:t xml:space="preserve">. </w:t>
      </w:r>
      <w:r w:rsidR="00BA6021">
        <w:t>As the judge recognised, f</w:t>
      </w:r>
      <w:r w:rsidR="00BB35E5">
        <w:t>orum shopping is to some extent inevitable in this context</w:t>
      </w:r>
      <w:r w:rsidR="00BA6021">
        <w:t xml:space="preserve">, </w:t>
      </w:r>
      <w:r w:rsidR="00727069">
        <w:t>but it should be discouraged rather than encouraged.</w:t>
      </w:r>
      <w:r w:rsidR="00BB35E5">
        <w:t xml:space="preserve"> </w:t>
      </w:r>
      <w:r w:rsidR="00996D0C">
        <w:t xml:space="preserve">Even if </w:t>
      </w:r>
      <w:r w:rsidR="0040607C">
        <w:t xml:space="preserve">the </w:t>
      </w:r>
      <w:r w:rsidR="009F2251">
        <w:t>English courts consider that jurisdiction should be exercise</w:t>
      </w:r>
      <w:r w:rsidR="00A766D0">
        <w:t>d</w:t>
      </w:r>
      <w:r w:rsidR="009F2251">
        <w:t xml:space="preserve"> by the </w:t>
      </w:r>
      <w:r w:rsidR="0040607C">
        <w:t>court first seised</w:t>
      </w:r>
      <w:r w:rsidR="001774DA">
        <w:t xml:space="preserve">, </w:t>
      </w:r>
      <w:r w:rsidR="000E1A3D">
        <w:t>this</w:t>
      </w:r>
      <w:r w:rsidR="001774DA">
        <w:t xml:space="preserve"> cannot be said to be </w:t>
      </w:r>
      <w:r w:rsidR="00937152">
        <w:t xml:space="preserve">an </w:t>
      </w:r>
      <w:r w:rsidR="001774DA">
        <w:t>answer that commands universal assent</w:t>
      </w:r>
      <w:r w:rsidR="00937152">
        <w:t xml:space="preserve">: as I pointed out in </w:t>
      </w:r>
      <w:r w:rsidR="00937152" w:rsidRPr="00D027D8">
        <w:rPr>
          <w:i/>
          <w:iCs/>
        </w:rPr>
        <w:t>Nokia v OPPO</w:t>
      </w:r>
      <w:r w:rsidR="00937152">
        <w:t xml:space="preserve">, </w:t>
      </w:r>
      <w:r w:rsidR="005A3636">
        <w:t>there are no internationally agreed jur</w:t>
      </w:r>
      <w:r w:rsidR="005E088B">
        <w:t xml:space="preserve">isdictional rules applicable to </w:t>
      </w:r>
      <w:r w:rsidR="005E088B" w:rsidRPr="005E088B">
        <w:t>FRAND</w:t>
      </w:r>
      <w:r w:rsidR="005E088B">
        <w:t xml:space="preserve"> disputes.</w:t>
      </w:r>
      <w:r w:rsidR="00A52A95">
        <w:t xml:space="preserve"> If </w:t>
      </w:r>
      <w:r w:rsidR="00F26759">
        <w:t>t</w:t>
      </w:r>
      <w:r w:rsidR="0082683E">
        <w:t xml:space="preserve">he principle of </w:t>
      </w:r>
      <w:r w:rsidR="00F26759">
        <w:t xml:space="preserve">ceding jurisdiction to the </w:t>
      </w:r>
      <w:r w:rsidR="0082683E">
        <w:t>court first seised</w:t>
      </w:r>
      <w:r w:rsidR="00F26759">
        <w:t xml:space="preserve"> was internationally accepted</w:t>
      </w:r>
      <w:r w:rsidR="0082683E">
        <w:t>,</w:t>
      </w:r>
      <w:r w:rsidR="00A52A95">
        <w:t xml:space="preserve"> </w:t>
      </w:r>
      <w:r w:rsidR="00A52A95" w:rsidRPr="00A52A95">
        <w:t>the Chongqing Court</w:t>
      </w:r>
      <w:r w:rsidR="00A52A95">
        <w:t xml:space="preserve"> would have declined jurisdiction as the court second seised.</w:t>
      </w:r>
      <w:r w:rsidR="006372B5">
        <w:t xml:space="preserve"> </w:t>
      </w:r>
      <w:r w:rsidR="004C5DA9">
        <w:t>The fact that the English court</w:t>
      </w:r>
      <w:r w:rsidR="00207620">
        <w:t>s were first seised</w:t>
      </w:r>
      <w:r w:rsidR="006372B5">
        <w:t xml:space="preserve"> is therefore not a sufficient basis for a conclusion </w:t>
      </w:r>
      <w:r w:rsidR="00EF3301">
        <w:t xml:space="preserve">that </w:t>
      </w:r>
      <w:r w:rsidR="00EF3301" w:rsidRPr="00EF3301">
        <w:t>ZTE</w:t>
      </w:r>
      <w:r w:rsidR="00EF3301">
        <w:t xml:space="preserve"> have acted in</w:t>
      </w:r>
      <w:r w:rsidR="006372B5">
        <w:t xml:space="preserve"> bad faith.</w:t>
      </w:r>
      <w:r w:rsidR="004C7F69">
        <w:t xml:space="preserve"> </w:t>
      </w:r>
      <w:r w:rsidR="00D54E36">
        <w:t xml:space="preserve">Given that </w:t>
      </w:r>
      <w:r w:rsidR="00D54E36" w:rsidRPr="00D54E36">
        <w:t>ZTE</w:t>
      </w:r>
      <w:r w:rsidR="00D54E36">
        <w:t xml:space="preserve"> were otherwise</w:t>
      </w:r>
      <w:r w:rsidR="00A03CDA">
        <w:t xml:space="preserve"> entitled to bring the </w:t>
      </w:r>
      <w:r w:rsidR="006B447D">
        <w:t xml:space="preserve">infringement </w:t>
      </w:r>
      <w:r w:rsidR="00A03CDA">
        <w:t xml:space="preserve">proceedings </w:t>
      </w:r>
      <w:r w:rsidR="006B447D">
        <w:t xml:space="preserve">of which Samsung complain, there is nothing else to support </w:t>
      </w:r>
      <w:r w:rsidR="006B447D" w:rsidRPr="006B447D">
        <w:t xml:space="preserve">the </w:t>
      </w:r>
      <w:r w:rsidR="006B447D">
        <w:t>conclusion</w:t>
      </w:r>
      <w:r w:rsidR="00791E51">
        <w:t xml:space="preserve"> that </w:t>
      </w:r>
      <w:r w:rsidR="00DF165E">
        <w:t>ZTE</w:t>
      </w:r>
      <w:r w:rsidR="00791E51">
        <w:t xml:space="preserve"> have acted in bad faith</w:t>
      </w:r>
      <w:r w:rsidR="006B447D">
        <w:t>.</w:t>
      </w:r>
    </w:p>
    <w:p w14:paraId="522F9B4D" w14:textId="190341B5" w:rsidR="006F48F8" w:rsidRDefault="009A3955" w:rsidP="004563C6">
      <w:pPr>
        <w:pStyle w:val="ParaLevel1"/>
      </w:pPr>
      <w:r>
        <w:t>I would add that a</w:t>
      </w:r>
      <w:r w:rsidR="006F48F8" w:rsidRPr="006F48F8">
        <w:t>nother problem which this case illustrates is that</w:t>
      </w:r>
      <w:r w:rsidR="00791E51">
        <w:t>, if</w:t>
      </w:r>
      <w:r w:rsidR="004F3AB0">
        <w:t xml:space="preserve"> jurisdiction is not ceded to</w:t>
      </w:r>
      <w:r w:rsidR="00791E51">
        <w:t xml:space="preserve"> the </w:t>
      </w:r>
      <w:r w:rsidR="004F3AB0">
        <w:t xml:space="preserve">court first seised, </w:t>
      </w:r>
      <w:r w:rsidR="006F48F8" w:rsidRPr="006F48F8">
        <w:t>the court first sei</w:t>
      </w:r>
      <w:r w:rsidR="004F3AB0">
        <w:t>s</w:t>
      </w:r>
      <w:r w:rsidR="006F48F8" w:rsidRPr="006F48F8">
        <w:t>ed is not guaranteed to be the first to decide.</w:t>
      </w:r>
      <w:r w:rsidR="009F5C67">
        <w:t xml:space="preserve"> As the parties agreed during the course</w:t>
      </w:r>
      <w:r w:rsidR="00187120">
        <w:t xml:space="preserve"> of argument, the consequences of this will have to be worked out in due course. </w:t>
      </w:r>
    </w:p>
    <w:p w14:paraId="3CC28D13" w14:textId="367560C3" w:rsidR="00BD5621" w:rsidRPr="00BD5621" w:rsidRDefault="00BD5621" w:rsidP="004563C6">
      <w:pPr>
        <w:pStyle w:val="ParaHeading"/>
        <w:rPr>
          <w:u w:val="single"/>
        </w:rPr>
      </w:pPr>
      <w:r w:rsidRPr="00BD5621">
        <w:rPr>
          <w:u w:val="single"/>
        </w:rPr>
        <w:t>Ground 3</w:t>
      </w:r>
      <w:r w:rsidR="00CD041A">
        <w:rPr>
          <w:u w:val="single"/>
        </w:rPr>
        <w:t>: unduly extensive relief</w:t>
      </w:r>
    </w:p>
    <w:p w14:paraId="0DE83295" w14:textId="056136AB" w:rsidR="00BA6A59" w:rsidRDefault="00BA6A59" w:rsidP="004563C6">
      <w:pPr>
        <w:pStyle w:val="ParaLevel1"/>
      </w:pPr>
      <w:r>
        <w:t xml:space="preserve">This </w:t>
      </w:r>
      <w:r w:rsidR="00D0674E">
        <w:t xml:space="preserve">ground </w:t>
      </w:r>
      <w:r>
        <w:t xml:space="preserve">was not developed by counsel </w:t>
      </w:r>
      <w:r w:rsidR="007D765F">
        <w:t xml:space="preserve">for </w:t>
      </w:r>
      <w:r w:rsidRPr="00BA6A59">
        <w:t>ZTE</w:t>
      </w:r>
      <w:r>
        <w:t xml:space="preserve"> in oral argument, and it is unnecessary to say anything about it.</w:t>
      </w:r>
    </w:p>
    <w:p w14:paraId="4EB8A105" w14:textId="59EFDA29" w:rsidR="000A05C5" w:rsidRPr="000A05C5" w:rsidRDefault="000A05C5" w:rsidP="004563C6">
      <w:pPr>
        <w:pStyle w:val="ParaHeading"/>
        <w:rPr>
          <w:u w:val="single"/>
        </w:rPr>
      </w:pPr>
      <w:r w:rsidRPr="000A05C5">
        <w:rPr>
          <w:u w:val="single"/>
        </w:rPr>
        <w:t>Appeal ground 4: comity</w:t>
      </w:r>
    </w:p>
    <w:p w14:paraId="4E823CC2" w14:textId="4CDFC8B3" w:rsidR="00FD40B5" w:rsidRDefault="00EF3301" w:rsidP="004563C6">
      <w:pPr>
        <w:pStyle w:val="ParaLevel1"/>
      </w:pPr>
      <w:r w:rsidRPr="00EF3301">
        <w:t>ZTE</w:t>
      </w:r>
      <w:r>
        <w:t xml:space="preserve"> contend that </w:t>
      </w:r>
      <w:r w:rsidR="005311A1">
        <w:t xml:space="preserve">the declarations </w:t>
      </w:r>
      <w:r w:rsidR="00E623C3">
        <w:t xml:space="preserve">made by the judge, and in particular declarations </w:t>
      </w:r>
      <w:r w:rsidR="00294799">
        <w:t xml:space="preserve">3 and 4, contravene comity. </w:t>
      </w:r>
      <w:r w:rsidR="00294799" w:rsidRPr="00294799">
        <w:t>ZTE</w:t>
      </w:r>
      <w:r w:rsidR="00294799">
        <w:t xml:space="preserve">’s argument is a </w:t>
      </w:r>
      <w:r w:rsidR="003678FF">
        <w:t>straightforward one</w:t>
      </w:r>
      <w:r w:rsidR="00C04CA0">
        <w:t>. T</w:t>
      </w:r>
      <w:r w:rsidR="003678FF">
        <w:t xml:space="preserve">he useful purpose identified by </w:t>
      </w:r>
      <w:r w:rsidR="003678FF" w:rsidRPr="003678FF">
        <w:t xml:space="preserve">the judge </w:t>
      </w:r>
      <w:r w:rsidR="003678FF">
        <w:t xml:space="preserve">for making these declarations was to force </w:t>
      </w:r>
      <w:r w:rsidR="003678FF" w:rsidRPr="003678FF">
        <w:t>ZTE</w:t>
      </w:r>
      <w:r w:rsidR="003678FF">
        <w:t xml:space="preserve"> to reconsider its position as to its preferred forum. </w:t>
      </w:r>
      <w:r w:rsidR="00C04CA0" w:rsidRPr="00C04CA0">
        <w:t>ZTE</w:t>
      </w:r>
      <w:r w:rsidR="00C04CA0">
        <w:t xml:space="preserve"> submit that this </w:t>
      </w:r>
      <w:r w:rsidR="007C19F2">
        <w:t xml:space="preserve">is a blatant interference </w:t>
      </w:r>
      <w:r w:rsidR="00D67D14">
        <w:t xml:space="preserve">with </w:t>
      </w:r>
      <w:r w:rsidR="00D67D14" w:rsidRPr="00D67D14">
        <w:t>the Chongqing Court</w:t>
      </w:r>
      <w:r w:rsidR="005C4847">
        <w:t xml:space="preserve">, because it is intended to discourage </w:t>
      </w:r>
      <w:r w:rsidR="005C4847" w:rsidRPr="005C4847">
        <w:t>ZTE</w:t>
      </w:r>
      <w:r w:rsidR="005C4847">
        <w:t xml:space="preserve"> from pursuing proceedings there which the Chinese courts have held to be entirely proper from a jurisdictional perspective. </w:t>
      </w:r>
      <w:r w:rsidR="00D44220" w:rsidRPr="00D44220">
        <w:t>ZTE</w:t>
      </w:r>
      <w:r w:rsidR="00D44220">
        <w:t xml:space="preserve"> argue that this goes significantly further than this Court did </w:t>
      </w:r>
      <w:r w:rsidR="002806F6">
        <w:t xml:space="preserve">in either </w:t>
      </w:r>
      <w:r w:rsidR="002806F6" w:rsidRPr="00FD40B5">
        <w:rPr>
          <w:i/>
          <w:iCs/>
        </w:rPr>
        <w:t>Panasonic v Xiaomi</w:t>
      </w:r>
      <w:r w:rsidR="002806F6">
        <w:t xml:space="preserve"> or </w:t>
      </w:r>
      <w:r w:rsidR="002806F6" w:rsidRPr="002806F6">
        <w:rPr>
          <w:i/>
          <w:iCs/>
        </w:rPr>
        <w:t>Lenovo v Ericsson</w:t>
      </w:r>
      <w:r w:rsidR="00FD40B5">
        <w:t>.</w:t>
      </w:r>
      <w:r w:rsidR="008F1FAF">
        <w:t xml:space="preserve"> </w:t>
      </w:r>
      <w:r w:rsidR="00DA3544">
        <w:t xml:space="preserve">It is no answer to say, as </w:t>
      </w:r>
      <w:r w:rsidR="00DA3544" w:rsidRPr="00DA3544">
        <w:t>the judge</w:t>
      </w:r>
      <w:r w:rsidR="00DA3544">
        <w:t xml:space="preserve"> did, that it is for </w:t>
      </w:r>
      <w:r w:rsidR="0087170A" w:rsidRPr="0087170A">
        <w:t>the Chongqing Court</w:t>
      </w:r>
      <w:r w:rsidR="0087170A">
        <w:t xml:space="preserve"> to decide what to do, because </w:t>
      </w:r>
      <w:r w:rsidR="0087170A" w:rsidRPr="0087170A">
        <w:t>Samsung</w:t>
      </w:r>
      <w:r w:rsidR="0087170A">
        <w:t xml:space="preserve">’s objective is to </w:t>
      </w:r>
      <w:r w:rsidR="003560EB">
        <w:t xml:space="preserve">get </w:t>
      </w:r>
      <w:r w:rsidR="003560EB" w:rsidRPr="003560EB">
        <w:t>ZTE</w:t>
      </w:r>
      <w:r w:rsidR="003560EB">
        <w:t xml:space="preserve"> to abandon the </w:t>
      </w:r>
      <w:r w:rsidR="003560EB" w:rsidRPr="003560EB">
        <w:t>Chongqing</w:t>
      </w:r>
      <w:r w:rsidR="003560EB">
        <w:t xml:space="preserve"> proceedings.</w:t>
      </w:r>
    </w:p>
    <w:p w14:paraId="28B00E93" w14:textId="37F0572F" w:rsidR="002268D1" w:rsidRDefault="00FD40B5" w:rsidP="004563C6">
      <w:pPr>
        <w:pStyle w:val="ParaLevel1"/>
      </w:pPr>
      <w:r>
        <w:t>It is not necessary to decide whether t</w:t>
      </w:r>
      <w:r w:rsidR="0092198D">
        <w:t xml:space="preserve">o allow the appeal on this ground given that </w:t>
      </w:r>
      <w:r w:rsidR="00FD7E0F">
        <w:t>I</w:t>
      </w:r>
      <w:r w:rsidR="0092198D">
        <w:t xml:space="preserve"> would allow</w:t>
      </w:r>
      <w:r w:rsidR="00951AC6">
        <w:t xml:space="preserve"> it</w:t>
      </w:r>
      <w:r w:rsidR="0092198D">
        <w:t xml:space="preserve"> on grounds 1 and 2. It is sufficient to say that</w:t>
      </w:r>
      <w:r w:rsidR="00FD7E0F">
        <w:t xml:space="preserve"> it seems to me that comity is a real </w:t>
      </w:r>
      <w:r w:rsidR="00B45E57">
        <w:t xml:space="preserve">concern in this case. </w:t>
      </w:r>
      <w:r w:rsidR="0092198D">
        <w:t xml:space="preserve"> </w:t>
      </w:r>
      <w:r w:rsidR="00C04CA0">
        <w:t xml:space="preserve"> </w:t>
      </w:r>
      <w:r w:rsidR="004C4FAD">
        <w:t xml:space="preserve"> </w:t>
      </w:r>
      <w:r w:rsidR="00996D0C">
        <w:t xml:space="preserve"> </w:t>
      </w:r>
      <w:r w:rsidR="002710C7">
        <w:t xml:space="preserve"> </w:t>
      </w:r>
      <w:r w:rsidR="003A2EB3">
        <w:t xml:space="preserve"> </w:t>
      </w:r>
      <w:r w:rsidR="000E47FA">
        <w:t xml:space="preserve"> </w:t>
      </w:r>
      <w:r w:rsidR="008A3D2B">
        <w:t xml:space="preserve"> </w:t>
      </w:r>
      <w:r w:rsidR="008F289B">
        <w:t xml:space="preserve"> </w:t>
      </w:r>
      <w:r w:rsidR="00AF35CF">
        <w:t xml:space="preserve"> </w:t>
      </w:r>
      <w:r w:rsidR="00DB1E3A">
        <w:t xml:space="preserve"> </w:t>
      </w:r>
      <w:r w:rsidR="007C4838">
        <w:t xml:space="preserve"> </w:t>
      </w:r>
      <w:r w:rsidR="002268D1">
        <w:t xml:space="preserve">  </w:t>
      </w:r>
    </w:p>
    <w:p w14:paraId="2B4ADCD2" w14:textId="6A813823" w:rsidR="004413F2" w:rsidRPr="00557384" w:rsidRDefault="00557384" w:rsidP="004563C6">
      <w:pPr>
        <w:pStyle w:val="ParaHeading"/>
        <w:rPr>
          <w:u w:val="single"/>
        </w:rPr>
      </w:pPr>
      <w:r w:rsidRPr="00557384">
        <w:rPr>
          <w:u w:val="single"/>
        </w:rPr>
        <w:t>Conclusion</w:t>
      </w:r>
    </w:p>
    <w:p w14:paraId="3F8F4C4B" w14:textId="342EFF2E" w:rsidR="002256D1" w:rsidRDefault="005311A1" w:rsidP="004563C6">
      <w:pPr>
        <w:pStyle w:val="ParaLevel1"/>
      </w:pPr>
      <w:r>
        <w:t xml:space="preserve">For the reasons given above I would allow the appeal. </w:t>
      </w:r>
      <w:r w:rsidR="0023498B">
        <w:t xml:space="preserve">The only question which remains is whether all the declarations made by the judge should be set aside, or only declarations 1, </w:t>
      </w:r>
      <w:r w:rsidR="000524AE">
        <w:t>3</w:t>
      </w:r>
      <w:r w:rsidR="0023498B">
        <w:t xml:space="preserve"> and 4. </w:t>
      </w:r>
      <w:r w:rsidR="000524AE">
        <w:t xml:space="preserve">Declaration </w:t>
      </w:r>
      <w:r w:rsidR="007F4BE3">
        <w:t>2 simply reflects what is agreed between the parties, and is jurisdictionally neutral</w:t>
      </w:r>
      <w:r w:rsidR="00D53786">
        <w:t xml:space="preserve"> because it leaves open </w:t>
      </w:r>
      <w:r w:rsidR="001854E1">
        <w:t xml:space="preserve">whether, and if so </w:t>
      </w:r>
      <w:r w:rsidR="00D53786">
        <w:t>by wh</w:t>
      </w:r>
      <w:r w:rsidR="002B7317">
        <w:t>ich</w:t>
      </w:r>
      <w:r w:rsidR="00686419">
        <w:t xml:space="preserve"> court</w:t>
      </w:r>
      <w:r w:rsidR="001854E1">
        <w:t>,</w:t>
      </w:r>
      <w:r w:rsidR="00686419">
        <w:t xml:space="preserve"> the </w:t>
      </w:r>
      <w:r w:rsidR="0075362D">
        <w:t xml:space="preserve">terms of the </w:t>
      </w:r>
      <w:r w:rsidR="00686419">
        <w:t>interim licenc</w:t>
      </w:r>
      <w:r w:rsidR="0075362D">
        <w:t xml:space="preserve">e should be </w:t>
      </w:r>
      <w:r w:rsidR="009D715F">
        <w:t>adjusted to reflect the terms of</w:t>
      </w:r>
      <w:r w:rsidR="002B7317">
        <w:t xml:space="preserve"> the final cross-licence. For example, one possibility would be for the sum paid</w:t>
      </w:r>
      <w:r w:rsidR="0081524A">
        <w:t xml:space="preserve"> for the interim licence</w:t>
      </w:r>
      <w:r w:rsidR="002B7317">
        <w:t xml:space="preserve"> simply to be treated as a credit against whatever sum is found </w:t>
      </w:r>
      <w:r w:rsidR="0081524A">
        <w:t>payable for the final cross-licence.</w:t>
      </w:r>
      <w:r w:rsidR="00EE2FE6">
        <w:t xml:space="preserve"> Although a declaration would not normally be made merely because the parties agreed to it</w:t>
      </w:r>
      <w:r w:rsidR="00805A4F">
        <w:t xml:space="preserve">, the question here is whether to set aside a declaration that has already </w:t>
      </w:r>
      <w:r w:rsidR="00013ED9">
        <w:t xml:space="preserve">been </w:t>
      </w:r>
      <w:r w:rsidR="00805A4F">
        <w:t>made. In any event, this case is rather exceptional.</w:t>
      </w:r>
      <w:r w:rsidR="0081524A">
        <w:t xml:space="preserve"> During the course of argument </w:t>
      </w:r>
      <w:r w:rsidR="00747BD2">
        <w:t xml:space="preserve">neither party raised any specific objection to </w:t>
      </w:r>
      <w:r w:rsidR="00805A4F">
        <w:t>leaving declaration 2 standing, but they had not had the chance properly to consider the matter. I would therefore give the parties the opportunity to file brief written submissions on this question.</w:t>
      </w:r>
    </w:p>
    <w:p w14:paraId="71EBBCE5" w14:textId="018CADBD" w:rsidR="00557384" w:rsidRDefault="002256D1" w:rsidP="004563C6">
      <w:pPr>
        <w:pStyle w:val="ParaLevel1"/>
      </w:pPr>
      <w:r>
        <w:t>I</w:t>
      </w:r>
      <w:r w:rsidR="00030F3A">
        <w:t xml:space="preserve"> </w:t>
      </w:r>
      <w:r w:rsidR="007F32EA">
        <w:t xml:space="preserve">would add that I </w:t>
      </w:r>
      <w:r w:rsidR="00030F3A">
        <w:t>agree with the observations of Birss LJ</w:t>
      </w:r>
      <w:r w:rsidR="00494924">
        <w:t xml:space="preserve"> in his judgment, and in particular what he says in paragraphs 84 and 85.</w:t>
      </w:r>
      <w:r w:rsidR="0081524A">
        <w:t xml:space="preserve"> </w:t>
      </w:r>
      <w:r w:rsidR="009D715F">
        <w:t xml:space="preserve"> </w:t>
      </w:r>
      <w:r w:rsidR="00D15001">
        <w:t xml:space="preserve"> </w:t>
      </w:r>
      <w:r w:rsidR="00686419">
        <w:t xml:space="preserve"> </w:t>
      </w:r>
      <w:r w:rsidR="007F4BE3">
        <w:t xml:space="preserve"> </w:t>
      </w:r>
    </w:p>
    <w:p w14:paraId="7956755F" w14:textId="0723EE0B" w:rsidR="00557384" w:rsidRPr="00557384" w:rsidRDefault="00557384" w:rsidP="004563C6">
      <w:pPr>
        <w:pStyle w:val="ParaHeading"/>
        <w:rPr>
          <w:b/>
          <w:bCs/>
        </w:rPr>
      </w:pPr>
      <w:r w:rsidRPr="00557384">
        <w:rPr>
          <w:b/>
          <w:bCs/>
        </w:rPr>
        <w:t>Lord Justice Birss:</w:t>
      </w:r>
    </w:p>
    <w:p w14:paraId="6ED04FEE" w14:textId="77777777" w:rsidR="00692B62" w:rsidRDefault="00692B62" w:rsidP="004563C6">
      <w:pPr>
        <w:pStyle w:val="ParaLevel1"/>
      </w:pPr>
      <w:r>
        <w:t>For the reasons given by Arnold LJ, I also would allow this appeal.  Given the importance of this matter and the fact we are disagreeing with a judge of significant experience in this field, I will add a few observations of my own.</w:t>
      </w:r>
    </w:p>
    <w:p w14:paraId="489746CF" w14:textId="747753DD" w:rsidR="00692B62" w:rsidRDefault="00692B62" w:rsidP="004563C6">
      <w:pPr>
        <w:pStyle w:val="ParaLevel1"/>
      </w:pPr>
      <w:r>
        <w:t>As my lord has explained, this case is quite different from the previous cases concerned with interim licences in a FRAND context.  In this dispute there are two competent courts both sei</w:t>
      </w:r>
      <w:r w:rsidR="00974D29">
        <w:t>s</w:t>
      </w:r>
      <w:r>
        <w:t xml:space="preserve">ed with the issue of making a global FRAND determination as between these two parties.  The judge rejected Samsung’s criticisms of the Chongqing </w:t>
      </w:r>
      <w:r w:rsidR="0027771F">
        <w:t>C</w:t>
      </w:r>
      <w:r>
        <w:t xml:space="preserve">ourt and there is no appeal from that conclusion.  The judge also found (and again there is no appeal) that the behaviour of ZTE which was said to be in bad faith was not directed to extracting supra-FRAND rates.  These points alone make the case very different from </w:t>
      </w:r>
      <w:r>
        <w:rPr>
          <w:i/>
          <w:iCs/>
        </w:rPr>
        <w:t>Panasonic v Xiaomi</w:t>
      </w:r>
      <w:r>
        <w:t xml:space="preserve"> and </w:t>
      </w:r>
      <w:r>
        <w:rPr>
          <w:i/>
          <w:iCs/>
        </w:rPr>
        <w:t>Lenovo v Ericsson</w:t>
      </w:r>
      <w:r>
        <w:t>.</w:t>
      </w:r>
    </w:p>
    <w:p w14:paraId="6E845C05" w14:textId="4C8136CC" w:rsidR="00692B62" w:rsidRDefault="00692B62" w:rsidP="004563C6">
      <w:pPr>
        <w:pStyle w:val="ParaLevel1"/>
      </w:pPr>
      <w:r>
        <w:t xml:space="preserve">Rather, as the judge held, what ZTE were doing was directed at trying to force Samsung to agree to a FRAND determination in Chongqing rather than London.  To “force” ZTE to reconsider was the reason for making the interim licence declarations below.  A striking aspect of ZTE’s case on this appeal was that a flaw with the scheme of the declarations and interim licence </w:t>
      </w:r>
      <w:r w:rsidR="00973819">
        <w:t>made by the judge</w:t>
      </w:r>
      <w:r>
        <w:t xml:space="preserve"> was, conversely, that it was not just designed to force ZTE to reconsider Chongqing, it has the effect of forcing ZTE to agree to a FRAND determination in London instead.  Despite counsel for Samsung’s best efforts to submit to the contrary, in my judgment there is a significant degree of symmetry between the positions of the two parties in this case.  I can see that this aspect will not have been as apparent to the judge below given the range of issues the court had to address, but as matters now stand on this appeal, it is stark.</w:t>
      </w:r>
    </w:p>
    <w:p w14:paraId="66CB3070" w14:textId="2A019D02" w:rsidR="00692B62" w:rsidRDefault="00692B62" w:rsidP="004563C6">
      <w:pPr>
        <w:pStyle w:val="ParaLevel1"/>
      </w:pPr>
      <w:r>
        <w:t xml:space="preserve">At this stage it is worth taking a step back.  </w:t>
      </w:r>
      <w:bookmarkStart w:id="34" w:name="_Hlk212733167"/>
      <w:r>
        <w:t xml:space="preserve">The concept of an interim licence </w:t>
      </w:r>
      <w:r w:rsidR="008F7FA5">
        <w:t>is inherent in</w:t>
      </w:r>
      <w:r>
        <w:t xml:space="preserve"> </w:t>
      </w:r>
      <w:bookmarkEnd w:id="34"/>
      <w:r>
        <w:t xml:space="preserve">the 2015 landmark decision of the Court of Justice of the European Union C-170/13 </w:t>
      </w:r>
      <w:r>
        <w:rPr>
          <w:i/>
          <w:iCs/>
        </w:rPr>
        <w:t>Huawei v ZTE</w:t>
      </w:r>
      <w:r>
        <w:t xml:space="preserve"> [EU:C:2015:477].  There at [67] the CJEU identified the idea that in some circumstances it might be for the implementer, in advance of a final resolution of the dispute between the SEP holder and the implementer, to provide appropriate security for the royalties which will end up being due in a licence agreement.  Naturally, the CJEU did not need to dwell on this point in detail or work through all the possible permutations, many of which have only emerged in the decade since that decision was given.  The key thing was to identify the principle.  Once that principle is identified, one is then entitled to ask: what is it that the implementer is getting in return for the financial commitment they are making? Although not spelled out explicitly by the CJEU, the answer is fairly simple.  The implementer is demonstrating their willingness to pay for the licence, once the terms can be agreed or resolved, and so, in the meantime the SEP holder ought not to be able to take the implementer’s products off the market by means of an injunction.  In other words what the implementer gets in return for the financial commitment is, at least implicitly, a form of licence pending the final resolution of the dispute.  It could be called an interim licence.  Assuming the sum being committed or paid is calculated on a global basis, then the willingness of the implementer which it embodies is also global in nature.  </w:t>
      </w:r>
    </w:p>
    <w:p w14:paraId="1C0E2603" w14:textId="1EFB59A6" w:rsidR="00692B62" w:rsidRDefault="00692B62" w:rsidP="004563C6">
      <w:pPr>
        <w:pStyle w:val="ParaLevel1"/>
      </w:pPr>
      <w:r>
        <w:t>I would have thought that in most cases, if it was required, a simple determination by a court of the appropriate financial terms to operate in the interim until the parties had signed a final agreement, is all that would be needed, with the sum paid (or committed as security) being taken into account appropriately in the terms of that final agreement.  That would apply whether the final terms were agreed in negotiation or settled by any competent court or arbitration.  No problem related to alleged bad faith or a lack of comity ought to arise.  One would also have thought an interim licence settled in circumstances like these ought to be jurisdiction</w:t>
      </w:r>
      <w:r w:rsidR="00C32218">
        <w:t>-</w:t>
      </w:r>
      <w:r>
        <w:t>neutral, e.g. by providing expressly that any competent court can take its terms into account and by not forcing jurisdiction on unwilling parties.</w:t>
      </w:r>
    </w:p>
    <w:p w14:paraId="65D4F517" w14:textId="5B0B9AEA" w:rsidR="00692B62" w:rsidRDefault="00692B62" w:rsidP="004563C6">
      <w:pPr>
        <w:pStyle w:val="ParaLevel1"/>
      </w:pPr>
      <w:r>
        <w:t>The difficulty in this case is that the terms of the interim licence itself and the declarations made are designed to seek to force one party to do something they clearly do not wish to do and have no intention of doing.  Ground 3 of the appeal was that the particular declaratory relief granted went beyond what was necessary to respond to the mischief identified, even if the judge had been right to identify that mischief.  As Arnold LJ has explained, this ground was not developed in oral argument.  I will only say that I believe there was scope for argument about the terms of the declarations in this case even if some form of response to what ZTE were doing was appropriate.  These terms will always be highly fact</w:t>
      </w:r>
      <w:r w:rsidR="00DF5CA0">
        <w:t>-</w:t>
      </w:r>
      <w:r>
        <w:t xml:space="preserve">specific and I would have liked to hear full argument about the merits and proportionality of declarations designed to force a party to do or not do something they are clearly unwilling to do, even if their conduct is to be deprecated.  I can see utility in a simple declaration of what the terms of an interim licence should be as between the given parties.  I use the term “should” advisedly because it does not force anyone to do anything but it may help later to expose and clarify what the motives of one party really are.  It might not be necessary or appropriate to go any further.  I would also like to have heard full argument about declarations which refer to a willing licensee or licensor in general rather than the parties themselves, and declarations which contain conditional clauses like declaration 4.  </w:t>
      </w:r>
    </w:p>
    <w:p w14:paraId="35CB4F71" w14:textId="58850FFE" w:rsidR="00692B62" w:rsidRDefault="00692B62" w:rsidP="004563C6">
      <w:pPr>
        <w:pStyle w:val="ParaLevel1"/>
      </w:pPr>
      <w:r>
        <w:t>The consequences of how to deal with more than one court being sei</w:t>
      </w:r>
      <w:r w:rsidR="0027771F">
        <w:t>s</w:t>
      </w:r>
      <w:r>
        <w:t xml:space="preserve">ed with the issue of determining what is FRAND will have to be worked out internationally over time on a case by case basis, but the helpful possibility of payment or security from the paying implementer in advance of that determination, and the interim licence implicit in it, ought not to </w:t>
      </w:r>
      <w:r w:rsidR="00A847EE">
        <w:t xml:space="preserve">be </w:t>
      </w:r>
      <w:r>
        <w:t xml:space="preserve">turned into a tool to force that issue. </w:t>
      </w:r>
    </w:p>
    <w:p w14:paraId="53B384F5" w14:textId="77777777" w:rsidR="00692B62" w:rsidRDefault="00692B62" w:rsidP="004563C6">
      <w:pPr>
        <w:pStyle w:val="ParaLevel1"/>
      </w:pPr>
      <w:r>
        <w:t xml:space="preserve">If a party really is acting in bad faith, then it can hardly complain if the court seeks to take steps to prevent it, but there may nevertheless still be grounds for a graduated response.  For example one would generally wish to avoid creating an impression of a lack of comity, even if analytically a given response does not in fact amount to that.  However as I have explained, these issues do not arise in this case because, as my lord has explained and I agree, there is no bad faith here. </w:t>
      </w:r>
    </w:p>
    <w:p w14:paraId="470F28C1" w14:textId="43C4755B" w:rsidR="00557384" w:rsidRPr="00557384" w:rsidRDefault="00557384" w:rsidP="004563C6">
      <w:pPr>
        <w:pStyle w:val="ParaHeading"/>
        <w:rPr>
          <w:b/>
          <w:bCs/>
        </w:rPr>
      </w:pPr>
      <w:r w:rsidRPr="00557384">
        <w:rPr>
          <w:b/>
          <w:bCs/>
        </w:rPr>
        <w:t>Lord Justice Peter Jackson:</w:t>
      </w:r>
    </w:p>
    <w:p w14:paraId="64521321" w14:textId="70A03E47" w:rsidR="00C439A3" w:rsidRDefault="002B1228" w:rsidP="004563C6">
      <w:pPr>
        <w:pStyle w:val="ParaLevel1"/>
      </w:pPr>
      <w:r>
        <w:t>I agree with both judgments.</w:t>
      </w:r>
      <w:r w:rsidR="009A781E">
        <w:t xml:space="preserve"> </w:t>
      </w:r>
      <w:r w:rsidR="00253D23">
        <w:t xml:space="preserve"> </w:t>
      </w:r>
      <w:r w:rsidR="002C5315">
        <w:t xml:space="preserve"> </w:t>
      </w:r>
      <w:r w:rsidR="00E55AD8">
        <w:t xml:space="preserve"> </w:t>
      </w:r>
      <w:r w:rsidR="004533A5">
        <w:t xml:space="preserve"> </w:t>
      </w:r>
      <w:r w:rsidR="00B711D8">
        <w:t xml:space="preserve"> </w:t>
      </w:r>
      <w:r w:rsidR="00F22717">
        <w:t xml:space="preserve"> </w:t>
      </w:r>
      <w:r w:rsidR="001815F2">
        <w:t xml:space="preserve"> </w:t>
      </w:r>
      <w:r w:rsidR="00765CC4">
        <w:t xml:space="preserve"> </w:t>
      </w:r>
      <w:r w:rsidR="003D4C1D">
        <w:t xml:space="preserve"> </w:t>
      </w:r>
      <w:r w:rsidR="001748EC">
        <w:t xml:space="preserve">  </w:t>
      </w:r>
    </w:p>
    <w:sectPr w:rsidR="00C439A3" w:rsidSect="004563C6">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BB6B5" w14:textId="77777777" w:rsidR="005B25D0" w:rsidRDefault="005B25D0">
      <w:r>
        <w:separator/>
      </w:r>
    </w:p>
  </w:endnote>
  <w:endnote w:type="continuationSeparator" w:id="0">
    <w:p w14:paraId="244628C5" w14:textId="77777777" w:rsidR="005B25D0" w:rsidRDefault="005B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EA19" w14:textId="77777777" w:rsidR="004563C6" w:rsidRDefault="00456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86301"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C911" w14:textId="77777777" w:rsidR="004563C6" w:rsidRDefault="004563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E7271" w14:textId="77777777" w:rsidR="00C439A3" w:rsidRPr="004563C6" w:rsidRDefault="00C439A3" w:rsidP="0045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2CBDC" w14:textId="77777777" w:rsidR="005B25D0" w:rsidRDefault="005B25D0">
      <w:r>
        <w:separator/>
      </w:r>
    </w:p>
  </w:footnote>
  <w:footnote w:type="continuationSeparator" w:id="0">
    <w:p w14:paraId="101D4DFD" w14:textId="77777777" w:rsidR="005B25D0" w:rsidRDefault="005B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BE9B3" w14:textId="77777777" w:rsidR="004563C6" w:rsidRDefault="00456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BD42" w14:textId="77777777" w:rsidR="004563C6" w:rsidRDefault="004563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2B171" w14:textId="77777777" w:rsidR="004563C6" w:rsidRDefault="004563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C439A3" w14:paraId="4AAE85EE" w14:textId="77777777">
      <w:tc>
        <w:tcPr>
          <w:tcW w:w="4622" w:type="dxa"/>
        </w:tcPr>
        <w:p w14:paraId="35366360" w14:textId="4BFA7B67" w:rsidR="00C439A3" w:rsidRPr="004563C6" w:rsidRDefault="004563C6">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028F3345" w14:textId="1F946B4F" w:rsidR="00C439A3" w:rsidRDefault="005B25D0">
          <w:pPr>
            <w:pStyle w:val="Header"/>
            <w:jc w:val="right"/>
            <w:rPr>
              <w:rFonts w:ascii="Times New Roman" w:hAnsi="Times New Roman"/>
              <w:sz w:val="16"/>
            </w:rPr>
          </w:pPr>
          <w:r>
            <w:rPr>
              <w:rFonts w:ascii="Times New Roman" w:hAnsi="Times New Roman"/>
              <w:sz w:val="16"/>
            </w:rPr>
            <w:t>Samsung v ZTE</w:t>
          </w:r>
        </w:p>
      </w:tc>
    </w:tr>
  </w:tbl>
  <w:p w14:paraId="2454C738"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0DE706D7"/>
    <w:multiLevelType w:val="multilevel"/>
    <w:tmpl w:val="1372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9A02DB"/>
    <w:multiLevelType w:val="multilevel"/>
    <w:tmpl w:val="5BE83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6576E"/>
    <w:multiLevelType w:val="hybridMultilevel"/>
    <w:tmpl w:val="A088114E"/>
    <w:lvl w:ilvl="0" w:tplc="60D8CD46">
      <w:start w:val="1"/>
      <w:numFmt w:val="bullet"/>
      <w:lvlText w:val="•"/>
      <w:lvlJc w:val="left"/>
      <w:pPr>
        <w:tabs>
          <w:tab w:val="num" w:pos="720"/>
        </w:tabs>
        <w:ind w:left="720" w:hanging="360"/>
      </w:pPr>
      <w:rPr>
        <w:rFonts w:ascii="Arial" w:hAnsi="Arial" w:hint="default"/>
      </w:rPr>
    </w:lvl>
    <w:lvl w:ilvl="1" w:tplc="9C363526" w:tentative="1">
      <w:start w:val="1"/>
      <w:numFmt w:val="bullet"/>
      <w:lvlText w:val="•"/>
      <w:lvlJc w:val="left"/>
      <w:pPr>
        <w:tabs>
          <w:tab w:val="num" w:pos="1440"/>
        </w:tabs>
        <w:ind w:left="1440" w:hanging="360"/>
      </w:pPr>
      <w:rPr>
        <w:rFonts w:ascii="Arial" w:hAnsi="Arial" w:hint="default"/>
      </w:rPr>
    </w:lvl>
    <w:lvl w:ilvl="2" w:tplc="6FB4BBF0" w:tentative="1">
      <w:start w:val="1"/>
      <w:numFmt w:val="bullet"/>
      <w:lvlText w:val="•"/>
      <w:lvlJc w:val="left"/>
      <w:pPr>
        <w:tabs>
          <w:tab w:val="num" w:pos="2160"/>
        </w:tabs>
        <w:ind w:left="2160" w:hanging="360"/>
      </w:pPr>
      <w:rPr>
        <w:rFonts w:ascii="Arial" w:hAnsi="Arial" w:hint="default"/>
      </w:rPr>
    </w:lvl>
    <w:lvl w:ilvl="3" w:tplc="5D922ED4" w:tentative="1">
      <w:start w:val="1"/>
      <w:numFmt w:val="bullet"/>
      <w:lvlText w:val="•"/>
      <w:lvlJc w:val="left"/>
      <w:pPr>
        <w:tabs>
          <w:tab w:val="num" w:pos="2880"/>
        </w:tabs>
        <w:ind w:left="2880" w:hanging="360"/>
      </w:pPr>
      <w:rPr>
        <w:rFonts w:ascii="Arial" w:hAnsi="Arial" w:hint="default"/>
      </w:rPr>
    </w:lvl>
    <w:lvl w:ilvl="4" w:tplc="E4F63B9A" w:tentative="1">
      <w:start w:val="1"/>
      <w:numFmt w:val="bullet"/>
      <w:lvlText w:val="•"/>
      <w:lvlJc w:val="left"/>
      <w:pPr>
        <w:tabs>
          <w:tab w:val="num" w:pos="3600"/>
        </w:tabs>
        <w:ind w:left="3600" w:hanging="360"/>
      </w:pPr>
      <w:rPr>
        <w:rFonts w:ascii="Arial" w:hAnsi="Arial" w:hint="default"/>
      </w:rPr>
    </w:lvl>
    <w:lvl w:ilvl="5" w:tplc="06F06DE8" w:tentative="1">
      <w:start w:val="1"/>
      <w:numFmt w:val="bullet"/>
      <w:lvlText w:val="•"/>
      <w:lvlJc w:val="left"/>
      <w:pPr>
        <w:tabs>
          <w:tab w:val="num" w:pos="4320"/>
        </w:tabs>
        <w:ind w:left="4320" w:hanging="360"/>
      </w:pPr>
      <w:rPr>
        <w:rFonts w:ascii="Arial" w:hAnsi="Arial" w:hint="default"/>
      </w:rPr>
    </w:lvl>
    <w:lvl w:ilvl="6" w:tplc="BB54F866" w:tentative="1">
      <w:start w:val="1"/>
      <w:numFmt w:val="bullet"/>
      <w:lvlText w:val="•"/>
      <w:lvlJc w:val="left"/>
      <w:pPr>
        <w:tabs>
          <w:tab w:val="num" w:pos="5040"/>
        </w:tabs>
        <w:ind w:left="5040" w:hanging="360"/>
      </w:pPr>
      <w:rPr>
        <w:rFonts w:ascii="Arial" w:hAnsi="Arial" w:hint="default"/>
      </w:rPr>
    </w:lvl>
    <w:lvl w:ilvl="7" w:tplc="08CE31B2" w:tentative="1">
      <w:start w:val="1"/>
      <w:numFmt w:val="bullet"/>
      <w:lvlText w:val="•"/>
      <w:lvlJc w:val="left"/>
      <w:pPr>
        <w:tabs>
          <w:tab w:val="num" w:pos="5760"/>
        </w:tabs>
        <w:ind w:left="5760" w:hanging="360"/>
      </w:pPr>
      <w:rPr>
        <w:rFonts w:ascii="Arial" w:hAnsi="Arial" w:hint="default"/>
      </w:rPr>
    </w:lvl>
    <w:lvl w:ilvl="8" w:tplc="CC5674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696A5C"/>
    <w:multiLevelType w:val="multilevel"/>
    <w:tmpl w:val="26A8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6E16"/>
    <w:multiLevelType w:val="multilevel"/>
    <w:tmpl w:val="07F6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7340A"/>
    <w:multiLevelType w:val="multilevel"/>
    <w:tmpl w:val="28B7340A"/>
    <w:lvl w:ilvl="0">
      <w:start w:val="1"/>
      <w:numFmt w:val="decimal"/>
      <w:lvlText w:val="%1."/>
      <w:lvlJc w:val="left"/>
      <w:pPr>
        <w:ind w:left="720" w:hanging="360"/>
      </w:pPr>
      <w:rPr>
        <w:rFonts w:ascii="Garamond" w:hAnsi="Garamond" w:hint="default"/>
        <w:b w:val="0"/>
        <w:bCs w:val="0"/>
        <w:i w:val="0"/>
        <w:iCs w:val="0"/>
      </w:rPr>
    </w:lvl>
    <w:lvl w:ilvl="1">
      <w:start w:val="1"/>
      <w:numFmt w:val="lowerLetter"/>
      <w:lvlText w:val="%2."/>
      <w:lvlJc w:val="left"/>
      <w:pPr>
        <w:ind w:left="1440" w:hanging="360"/>
      </w:pPr>
      <w:rPr>
        <w:rFonts w:ascii="Garamond" w:hAnsi="Garamond" w:hint="default"/>
        <w:b w:val="0"/>
        <w:bCs w:val="0"/>
        <w:i w:val="0"/>
        <w:i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1559D5"/>
    <w:multiLevelType w:val="multilevel"/>
    <w:tmpl w:val="F26C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0038BA"/>
    <w:multiLevelType w:val="hybridMultilevel"/>
    <w:tmpl w:val="F8880F8A"/>
    <w:lvl w:ilvl="0" w:tplc="73589A14">
      <w:start w:val="1"/>
      <w:numFmt w:val="bullet"/>
      <w:lvlText w:val="•"/>
      <w:lvlJc w:val="left"/>
      <w:pPr>
        <w:tabs>
          <w:tab w:val="num" w:pos="720"/>
        </w:tabs>
        <w:ind w:left="720" w:hanging="360"/>
      </w:pPr>
      <w:rPr>
        <w:rFonts w:ascii="Arial" w:hAnsi="Arial" w:hint="default"/>
      </w:rPr>
    </w:lvl>
    <w:lvl w:ilvl="1" w:tplc="9CB2F166" w:tentative="1">
      <w:start w:val="1"/>
      <w:numFmt w:val="bullet"/>
      <w:lvlText w:val="•"/>
      <w:lvlJc w:val="left"/>
      <w:pPr>
        <w:tabs>
          <w:tab w:val="num" w:pos="1440"/>
        </w:tabs>
        <w:ind w:left="1440" w:hanging="360"/>
      </w:pPr>
      <w:rPr>
        <w:rFonts w:ascii="Arial" w:hAnsi="Arial" w:hint="default"/>
      </w:rPr>
    </w:lvl>
    <w:lvl w:ilvl="2" w:tplc="8A740392" w:tentative="1">
      <w:start w:val="1"/>
      <w:numFmt w:val="bullet"/>
      <w:lvlText w:val="•"/>
      <w:lvlJc w:val="left"/>
      <w:pPr>
        <w:tabs>
          <w:tab w:val="num" w:pos="2160"/>
        </w:tabs>
        <w:ind w:left="2160" w:hanging="360"/>
      </w:pPr>
      <w:rPr>
        <w:rFonts w:ascii="Arial" w:hAnsi="Arial" w:hint="default"/>
      </w:rPr>
    </w:lvl>
    <w:lvl w:ilvl="3" w:tplc="56488C56" w:tentative="1">
      <w:start w:val="1"/>
      <w:numFmt w:val="bullet"/>
      <w:lvlText w:val="•"/>
      <w:lvlJc w:val="left"/>
      <w:pPr>
        <w:tabs>
          <w:tab w:val="num" w:pos="2880"/>
        </w:tabs>
        <w:ind w:left="2880" w:hanging="360"/>
      </w:pPr>
      <w:rPr>
        <w:rFonts w:ascii="Arial" w:hAnsi="Arial" w:hint="default"/>
      </w:rPr>
    </w:lvl>
    <w:lvl w:ilvl="4" w:tplc="340E7BAA" w:tentative="1">
      <w:start w:val="1"/>
      <w:numFmt w:val="bullet"/>
      <w:lvlText w:val="•"/>
      <w:lvlJc w:val="left"/>
      <w:pPr>
        <w:tabs>
          <w:tab w:val="num" w:pos="3600"/>
        </w:tabs>
        <w:ind w:left="3600" w:hanging="360"/>
      </w:pPr>
      <w:rPr>
        <w:rFonts w:ascii="Arial" w:hAnsi="Arial" w:hint="default"/>
      </w:rPr>
    </w:lvl>
    <w:lvl w:ilvl="5" w:tplc="A5484544" w:tentative="1">
      <w:start w:val="1"/>
      <w:numFmt w:val="bullet"/>
      <w:lvlText w:val="•"/>
      <w:lvlJc w:val="left"/>
      <w:pPr>
        <w:tabs>
          <w:tab w:val="num" w:pos="4320"/>
        </w:tabs>
        <w:ind w:left="4320" w:hanging="360"/>
      </w:pPr>
      <w:rPr>
        <w:rFonts w:ascii="Arial" w:hAnsi="Arial" w:hint="default"/>
      </w:rPr>
    </w:lvl>
    <w:lvl w:ilvl="6" w:tplc="B91ABB46" w:tentative="1">
      <w:start w:val="1"/>
      <w:numFmt w:val="bullet"/>
      <w:lvlText w:val="•"/>
      <w:lvlJc w:val="left"/>
      <w:pPr>
        <w:tabs>
          <w:tab w:val="num" w:pos="5040"/>
        </w:tabs>
        <w:ind w:left="5040" w:hanging="360"/>
      </w:pPr>
      <w:rPr>
        <w:rFonts w:ascii="Arial" w:hAnsi="Arial" w:hint="default"/>
      </w:rPr>
    </w:lvl>
    <w:lvl w:ilvl="7" w:tplc="099263A6" w:tentative="1">
      <w:start w:val="1"/>
      <w:numFmt w:val="bullet"/>
      <w:lvlText w:val="•"/>
      <w:lvlJc w:val="left"/>
      <w:pPr>
        <w:tabs>
          <w:tab w:val="num" w:pos="5760"/>
        </w:tabs>
        <w:ind w:left="5760" w:hanging="360"/>
      </w:pPr>
      <w:rPr>
        <w:rFonts w:ascii="Arial" w:hAnsi="Arial" w:hint="default"/>
      </w:rPr>
    </w:lvl>
    <w:lvl w:ilvl="8" w:tplc="5D526F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97281A"/>
    <w:multiLevelType w:val="multilevel"/>
    <w:tmpl w:val="2EC0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001DA0"/>
    <w:multiLevelType w:val="multilevel"/>
    <w:tmpl w:val="734A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3A56E7"/>
    <w:multiLevelType w:val="multilevel"/>
    <w:tmpl w:val="43F4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E851A4"/>
    <w:multiLevelType w:val="multilevel"/>
    <w:tmpl w:val="8646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F85FE3"/>
    <w:multiLevelType w:val="hybridMultilevel"/>
    <w:tmpl w:val="AC6E7976"/>
    <w:lvl w:ilvl="0" w:tplc="8D4ACD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0"/>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6"/>
    </w:lvlOverride>
  </w:num>
  <w:num w:numId="15">
    <w:abstractNumId w:val="8"/>
  </w:num>
  <w:num w:numId="16">
    <w:abstractNumId w:val="3"/>
  </w:num>
  <w:num w:numId="17">
    <w:abstractNumId w:val="1"/>
    <w:lvlOverride w:ilvl="0">
      <w:startOverride w:val="39"/>
    </w:lvlOverride>
  </w:num>
  <w:num w:numId="18">
    <w:abstractNumId w:val="1"/>
    <w:lvlOverride w:ilvl="0">
      <w:startOverride w:val="40"/>
    </w:lvlOverride>
  </w:num>
  <w:num w:numId="19">
    <w:abstractNumId w:val="1"/>
    <w:lvlOverride w:ilvl="0">
      <w:startOverride w:val="41"/>
    </w:lvlOverride>
  </w:num>
  <w:num w:numId="20">
    <w:abstractNumId w:val="1"/>
    <w:lvlOverride w:ilvl="0">
      <w:startOverride w:val="42"/>
    </w:lvlOverride>
  </w:num>
  <w:num w:numId="21">
    <w:abstractNumId w:val="12"/>
    <w:lvlOverride w:ilvl="0">
      <w:startOverride w:val="77"/>
    </w:lvlOverride>
  </w:num>
  <w:num w:numId="22">
    <w:abstractNumId w:val="12"/>
    <w:lvlOverride w:ilvl="0">
      <w:startOverride w:val="78"/>
    </w:lvlOverride>
  </w:num>
  <w:num w:numId="23">
    <w:abstractNumId w:val="5"/>
    <w:lvlOverride w:ilvl="0">
      <w:startOverride w:val="104"/>
    </w:lvlOverride>
  </w:num>
  <w:num w:numId="24">
    <w:abstractNumId w:val="5"/>
    <w:lvlOverride w:ilvl="0">
      <w:startOverride w:val="105"/>
    </w:lvlOverride>
  </w:num>
  <w:num w:numId="25">
    <w:abstractNumId w:val="5"/>
    <w:lvlOverride w:ilvl="0">
      <w:startOverride w:val="106"/>
    </w:lvlOverride>
  </w:num>
  <w:num w:numId="26">
    <w:abstractNumId w:val="5"/>
    <w:lvlOverride w:ilvl="0">
      <w:startOverride w:val="107"/>
    </w:lvlOverride>
  </w:num>
  <w:num w:numId="27">
    <w:abstractNumId w:val="5"/>
    <w:lvlOverride w:ilvl="0">
      <w:startOverride w:val="108"/>
    </w:lvlOverride>
  </w:num>
  <w:num w:numId="28">
    <w:abstractNumId w:val="5"/>
    <w:lvlOverride w:ilvl="0">
      <w:startOverride w:val="109"/>
    </w:lvlOverride>
  </w:num>
  <w:num w:numId="29">
    <w:abstractNumId w:val="2"/>
    <w:lvlOverride w:ilvl="0">
      <w:startOverride w:val="81"/>
    </w:lvlOverride>
  </w:num>
  <w:num w:numId="30">
    <w:abstractNumId w:val="4"/>
    <w:lvlOverride w:ilvl="0">
      <w:startOverride w:val="117"/>
    </w:lvlOverride>
  </w:num>
  <w:num w:numId="31">
    <w:abstractNumId w:val="4"/>
    <w:lvlOverride w:ilvl="0">
      <w:startOverride w:val="118"/>
    </w:lvlOverride>
  </w:num>
  <w:num w:numId="32">
    <w:abstractNumId w:val="4"/>
    <w:lvlOverride w:ilvl="0">
      <w:startOverride w:val="119"/>
    </w:lvlOverride>
  </w:num>
  <w:num w:numId="33">
    <w:abstractNumId w:val="11"/>
    <w:lvlOverride w:ilvl="0">
      <w:startOverride w:val="127"/>
    </w:lvlOverride>
  </w:num>
  <w:num w:numId="34">
    <w:abstractNumId w:val="7"/>
    <w:lvlOverride w:ilvl="0">
      <w:startOverride w:val="129"/>
    </w:lvlOverride>
  </w:num>
  <w:num w:numId="35">
    <w:abstractNumId w:val="7"/>
    <w:lvlOverride w:ilvl="0">
      <w:startOverride w:val="130"/>
    </w:lvlOverride>
  </w:num>
  <w:num w:numId="36">
    <w:abstractNumId w:val="10"/>
    <w:lvlOverride w:ilvl="0">
      <w:startOverride w:val="152"/>
    </w:lvlOverride>
  </w:num>
  <w:num w:numId="37">
    <w:abstractNumId w:val="10"/>
    <w:lvlOverride w:ilvl="0">
      <w:startOverride w:val="153"/>
    </w:lvlOverride>
  </w:num>
  <w:num w:numId="38">
    <w:abstractNumId w:val="10"/>
    <w:lvlOverride w:ilvl="0">
      <w:startOverride w:val="154"/>
    </w:lvlOverride>
  </w:num>
  <w:num w:numId="39">
    <w:abstractNumId w:val="10"/>
    <w:lvlOverride w:ilvl="0">
      <w:startOverride w:val="155"/>
    </w:lvlOverride>
  </w:num>
  <w:num w:numId="40">
    <w:abstractNumId w:val="10"/>
    <w:lvlOverride w:ilvl="0">
      <w:startOverride w:val="156"/>
    </w:lvlOverride>
  </w:num>
  <w:num w:numId="41">
    <w:abstractNumId w:val="10"/>
    <w:lvlOverride w:ilvl="0">
      <w:startOverride w:val="15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D0"/>
    <w:rsid w:val="00000C50"/>
    <w:rsid w:val="00000D43"/>
    <w:rsid w:val="0000278B"/>
    <w:rsid w:val="00003C71"/>
    <w:rsid w:val="00003EA7"/>
    <w:rsid w:val="00012C12"/>
    <w:rsid w:val="00013ACD"/>
    <w:rsid w:val="00013ED9"/>
    <w:rsid w:val="000170BA"/>
    <w:rsid w:val="000178AC"/>
    <w:rsid w:val="0002061A"/>
    <w:rsid w:val="00030F3A"/>
    <w:rsid w:val="000324D4"/>
    <w:rsid w:val="00033EA8"/>
    <w:rsid w:val="00034F7C"/>
    <w:rsid w:val="00037A9F"/>
    <w:rsid w:val="00037C5F"/>
    <w:rsid w:val="0004611C"/>
    <w:rsid w:val="000524AE"/>
    <w:rsid w:val="00054984"/>
    <w:rsid w:val="0005626B"/>
    <w:rsid w:val="00060055"/>
    <w:rsid w:val="00060C4B"/>
    <w:rsid w:val="0006223D"/>
    <w:rsid w:val="00062C33"/>
    <w:rsid w:val="000630F0"/>
    <w:rsid w:val="00065725"/>
    <w:rsid w:val="00067476"/>
    <w:rsid w:val="0007091D"/>
    <w:rsid w:val="00072769"/>
    <w:rsid w:val="00080A2E"/>
    <w:rsid w:val="0008438E"/>
    <w:rsid w:val="00085064"/>
    <w:rsid w:val="00090ACB"/>
    <w:rsid w:val="00090CFA"/>
    <w:rsid w:val="00094539"/>
    <w:rsid w:val="000953DC"/>
    <w:rsid w:val="000A05C5"/>
    <w:rsid w:val="000A596D"/>
    <w:rsid w:val="000B2E9F"/>
    <w:rsid w:val="000C41AE"/>
    <w:rsid w:val="000C7095"/>
    <w:rsid w:val="000D2A92"/>
    <w:rsid w:val="000D34F2"/>
    <w:rsid w:val="000D6BCC"/>
    <w:rsid w:val="000E1A3D"/>
    <w:rsid w:val="000E47FA"/>
    <w:rsid w:val="000F60FB"/>
    <w:rsid w:val="000F7562"/>
    <w:rsid w:val="001012DA"/>
    <w:rsid w:val="00102071"/>
    <w:rsid w:val="001068A2"/>
    <w:rsid w:val="00110EB2"/>
    <w:rsid w:val="00111E86"/>
    <w:rsid w:val="00112855"/>
    <w:rsid w:val="00112940"/>
    <w:rsid w:val="0011408E"/>
    <w:rsid w:val="001152CE"/>
    <w:rsid w:val="00115CDB"/>
    <w:rsid w:val="00116291"/>
    <w:rsid w:val="00117A07"/>
    <w:rsid w:val="00120486"/>
    <w:rsid w:val="00125094"/>
    <w:rsid w:val="001267E9"/>
    <w:rsid w:val="00131519"/>
    <w:rsid w:val="00131C0A"/>
    <w:rsid w:val="00131E85"/>
    <w:rsid w:val="00143ECC"/>
    <w:rsid w:val="001442D0"/>
    <w:rsid w:val="00150A60"/>
    <w:rsid w:val="00151F43"/>
    <w:rsid w:val="00153458"/>
    <w:rsid w:val="00153F15"/>
    <w:rsid w:val="001543F8"/>
    <w:rsid w:val="00162D1D"/>
    <w:rsid w:val="00162F65"/>
    <w:rsid w:val="00164881"/>
    <w:rsid w:val="00166DFD"/>
    <w:rsid w:val="00170478"/>
    <w:rsid w:val="00170C06"/>
    <w:rsid w:val="0017345B"/>
    <w:rsid w:val="001748EC"/>
    <w:rsid w:val="001774DA"/>
    <w:rsid w:val="00177FAE"/>
    <w:rsid w:val="001815F2"/>
    <w:rsid w:val="001817FD"/>
    <w:rsid w:val="0018353C"/>
    <w:rsid w:val="001854E1"/>
    <w:rsid w:val="00185715"/>
    <w:rsid w:val="00187120"/>
    <w:rsid w:val="00187B9B"/>
    <w:rsid w:val="0019053D"/>
    <w:rsid w:val="00192D1F"/>
    <w:rsid w:val="00193D8D"/>
    <w:rsid w:val="00195457"/>
    <w:rsid w:val="00196003"/>
    <w:rsid w:val="00196D73"/>
    <w:rsid w:val="00197FBA"/>
    <w:rsid w:val="001B6B33"/>
    <w:rsid w:val="001C58B3"/>
    <w:rsid w:val="001D185F"/>
    <w:rsid w:val="001D7113"/>
    <w:rsid w:val="001D7542"/>
    <w:rsid w:val="001D7624"/>
    <w:rsid w:val="001E068C"/>
    <w:rsid w:val="001E6C4E"/>
    <w:rsid w:val="001E6EDA"/>
    <w:rsid w:val="001F2D9B"/>
    <w:rsid w:val="001F4662"/>
    <w:rsid w:val="0020413E"/>
    <w:rsid w:val="00205A3C"/>
    <w:rsid w:val="00207620"/>
    <w:rsid w:val="002159BD"/>
    <w:rsid w:val="002169CD"/>
    <w:rsid w:val="00223F59"/>
    <w:rsid w:val="002246FB"/>
    <w:rsid w:val="002256D1"/>
    <w:rsid w:val="002268D1"/>
    <w:rsid w:val="002324E8"/>
    <w:rsid w:val="002341E2"/>
    <w:rsid w:val="0023498B"/>
    <w:rsid w:val="0023666B"/>
    <w:rsid w:val="002373D5"/>
    <w:rsid w:val="002465EE"/>
    <w:rsid w:val="00246926"/>
    <w:rsid w:val="00253D23"/>
    <w:rsid w:val="00254D13"/>
    <w:rsid w:val="0025729F"/>
    <w:rsid w:val="00257590"/>
    <w:rsid w:val="00265685"/>
    <w:rsid w:val="002710C7"/>
    <w:rsid w:val="002734F8"/>
    <w:rsid w:val="002743F9"/>
    <w:rsid w:val="00274A23"/>
    <w:rsid w:val="00274D45"/>
    <w:rsid w:val="0027771F"/>
    <w:rsid w:val="002806F6"/>
    <w:rsid w:val="002809B8"/>
    <w:rsid w:val="00280FF1"/>
    <w:rsid w:val="0028570A"/>
    <w:rsid w:val="00287A4F"/>
    <w:rsid w:val="00291194"/>
    <w:rsid w:val="00293632"/>
    <w:rsid w:val="00294799"/>
    <w:rsid w:val="00295025"/>
    <w:rsid w:val="00297E1F"/>
    <w:rsid w:val="002A24EB"/>
    <w:rsid w:val="002A2F52"/>
    <w:rsid w:val="002B1228"/>
    <w:rsid w:val="002B38D4"/>
    <w:rsid w:val="002B4AE6"/>
    <w:rsid w:val="002B5E76"/>
    <w:rsid w:val="002B6C29"/>
    <w:rsid w:val="002B7317"/>
    <w:rsid w:val="002B7AB8"/>
    <w:rsid w:val="002C422F"/>
    <w:rsid w:val="002C4D35"/>
    <w:rsid w:val="002C5315"/>
    <w:rsid w:val="002D0158"/>
    <w:rsid w:val="002D297F"/>
    <w:rsid w:val="002E1877"/>
    <w:rsid w:val="002E1B02"/>
    <w:rsid w:val="002E3C48"/>
    <w:rsid w:val="002E6F8F"/>
    <w:rsid w:val="002F168C"/>
    <w:rsid w:val="002F39DB"/>
    <w:rsid w:val="002F4B74"/>
    <w:rsid w:val="00306FA2"/>
    <w:rsid w:val="00310348"/>
    <w:rsid w:val="003105EB"/>
    <w:rsid w:val="003133CB"/>
    <w:rsid w:val="00314A1C"/>
    <w:rsid w:val="00314C1F"/>
    <w:rsid w:val="003220D5"/>
    <w:rsid w:val="003237C3"/>
    <w:rsid w:val="00325F69"/>
    <w:rsid w:val="00330671"/>
    <w:rsid w:val="0033143C"/>
    <w:rsid w:val="00335EC3"/>
    <w:rsid w:val="003442FB"/>
    <w:rsid w:val="00344AA4"/>
    <w:rsid w:val="003474C6"/>
    <w:rsid w:val="00350476"/>
    <w:rsid w:val="0035283C"/>
    <w:rsid w:val="00352D4A"/>
    <w:rsid w:val="00354BC3"/>
    <w:rsid w:val="003560EB"/>
    <w:rsid w:val="00357263"/>
    <w:rsid w:val="00357747"/>
    <w:rsid w:val="003619D1"/>
    <w:rsid w:val="0036306B"/>
    <w:rsid w:val="00363698"/>
    <w:rsid w:val="00365644"/>
    <w:rsid w:val="003678FF"/>
    <w:rsid w:val="00372927"/>
    <w:rsid w:val="0037327C"/>
    <w:rsid w:val="00376D54"/>
    <w:rsid w:val="00377522"/>
    <w:rsid w:val="0037769C"/>
    <w:rsid w:val="00382488"/>
    <w:rsid w:val="00383A7C"/>
    <w:rsid w:val="00385A4D"/>
    <w:rsid w:val="003927BD"/>
    <w:rsid w:val="00396626"/>
    <w:rsid w:val="00396E2E"/>
    <w:rsid w:val="00396F5C"/>
    <w:rsid w:val="003971DF"/>
    <w:rsid w:val="003A2EB3"/>
    <w:rsid w:val="003A2FFA"/>
    <w:rsid w:val="003A3F3D"/>
    <w:rsid w:val="003B09A3"/>
    <w:rsid w:val="003B104E"/>
    <w:rsid w:val="003B1BD0"/>
    <w:rsid w:val="003B6BBD"/>
    <w:rsid w:val="003B6E9B"/>
    <w:rsid w:val="003C4CB4"/>
    <w:rsid w:val="003C4E88"/>
    <w:rsid w:val="003D1D1B"/>
    <w:rsid w:val="003D4C1D"/>
    <w:rsid w:val="003D7214"/>
    <w:rsid w:val="003E2811"/>
    <w:rsid w:val="003E2A09"/>
    <w:rsid w:val="003F09E0"/>
    <w:rsid w:val="003F7C84"/>
    <w:rsid w:val="00402A61"/>
    <w:rsid w:val="00403E6D"/>
    <w:rsid w:val="00404290"/>
    <w:rsid w:val="00404B1A"/>
    <w:rsid w:val="0040607C"/>
    <w:rsid w:val="00406304"/>
    <w:rsid w:val="00406545"/>
    <w:rsid w:val="00407326"/>
    <w:rsid w:val="00413D92"/>
    <w:rsid w:val="0042424D"/>
    <w:rsid w:val="004246B1"/>
    <w:rsid w:val="00424E61"/>
    <w:rsid w:val="004265D0"/>
    <w:rsid w:val="004306D6"/>
    <w:rsid w:val="00432B79"/>
    <w:rsid w:val="004332B9"/>
    <w:rsid w:val="00433DDF"/>
    <w:rsid w:val="00433F50"/>
    <w:rsid w:val="00437BF8"/>
    <w:rsid w:val="00437ECA"/>
    <w:rsid w:val="004413F2"/>
    <w:rsid w:val="0044594D"/>
    <w:rsid w:val="00446173"/>
    <w:rsid w:val="00447113"/>
    <w:rsid w:val="00447270"/>
    <w:rsid w:val="004516D7"/>
    <w:rsid w:val="004533A5"/>
    <w:rsid w:val="004549FF"/>
    <w:rsid w:val="004563C6"/>
    <w:rsid w:val="00457821"/>
    <w:rsid w:val="004672C8"/>
    <w:rsid w:val="00472523"/>
    <w:rsid w:val="0047534B"/>
    <w:rsid w:val="0047546F"/>
    <w:rsid w:val="00476917"/>
    <w:rsid w:val="00477A0D"/>
    <w:rsid w:val="00481276"/>
    <w:rsid w:val="00482009"/>
    <w:rsid w:val="00485533"/>
    <w:rsid w:val="00486A7B"/>
    <w:rsid w:val="00492028"/>
    <w:rsid w:val="00492DEC"/>
    <w:rsid w:val="00494924"/>
    <w:rsid w:val="00496B91"/>
    <w:rsid w:val="004A0654"/>
    <w:rsid w:val="004A2472"/>
    <w:rsid w:val="004A3B3D"/>
    <w:rsid w:val="004A5030"/>
    <w:rsid w:val="004A7491"/>
    <w:rsid w:val="004B3E53"/>
    <w:rsid w:val="004B7B8A"/>
    <w:rsid w:val="004C2D89"/>
    <w:rsid w:val="004C36E0"/>
    <w:rsid w:val="004C4C75"/>
    <w:rsid w:val="004C4FAD"/>
    <w:rsid w:val="004C5CE1"/>
    <w:rsid w:val="004C5DA9"/>
    <w:rsid w:val="004C6996"/>
    <w:rsid w:val="004C792A"/>
    <w:rsid w:val="004C7F69"/>
    <w:rsid w:val="004D0170"/>
    <w:rsid w:val="004D0A44"/>
    <w:rsid w:val="004D22D4"/>
    <w:rsid w:val="004D6050"/>
    <w:rsid w:val="004D7ECD"/>
    <w:rsid w:val="004E0516"/>
    <w:rsid w:val="004E2213"/>
    <w:rsid w:val="004E2539"/>
    <w:rsid w:val="004E3D42"/>
    <w:rsid w:val="004E63DD"/>
    <w:rsid w:val="004E68E1"/>
    <w:rsid w:val="004E74F9"/>
    <w:rsid w:val="004F0B14"/>
    <w:rsid w:val="004F0D49"/>
    <w:rsid w:val="004F307B"/>
    <w:rsid w:val="004F3AB0"/>
    <w:rsid w:val="004F3ADA"/>
    <w:rsid w:val="005024D7"/>
    <w:rsid w:val="00504DDF"/>
    <w:rsid w:val="0050696D"/>
    <w:rsid w:val="00513731"/>
    <w:rsid w:val="00514917"/>
    <w:rsid w:val="00515DFD"/>
    <w:rsid w:val="00521BF1"/>
    <w:rsid w:val="00526591"/>
    <w:rsid w:val="00526F03"/>
    <w:rsid w:val="0052748B"/>
    <w:rsid w:val="005311A1"/>
    <w:rsid w:val="00533A26"/>
    <w:rsid w:val="00535084"/>
    <w:rsid w:val="005456F9"/>
    <w:rsid w:val="0055329D"/>
    <w:rsid w:val="00553C1E"/>
    <w:rsid w:val="00557384"/>
    <w:rsid w:val="00563189"/>
    <w:rsid w:val="00564D01"/>
    <w:rsid w:val="0057003E"/>
    <w:rsid w:val="00570CCE"/>
    <w:rsid w:val="00571CA9"/>
    <w:rsid w:val="00574EF7"/>
    <w:rsid w:val="005774BB"/>
    <w:rsid w:val="00583410"/>
    <w:rsid w:val="00583932"/>
    <w:rsid w:val="0058587B"/>
    <w:rsid w:val="005A3636"/>
    <w:rsid w:val="005A4F9A"/>
    <w:rsid w:val="005A52F0"/>
    <w:rsid w:val="005A7AD9"/>
    <w:rsid w:val="005B1DE9"/>
    <w:rsid w:val="005B25D0"/>
    <w:rsid w:val="005B3254"/>
    <w:rsid w:val="005B350C"/>
    <w:rsid w:val="005B6495"/>
    <w:rsid w:val="005C4847"/>
    <w:rsid w:val="005C734C"/>
    <w:rsid w:val="005D5426"/>
    <w:rsid w:val="005D5DBB"/>
    <w:rsid w:val="005D63D6"/>
    <w:rsid w:val="005D7F11"/>
    <w:rsid w:val="005E088B"/>
    <w:rsid w:val="005E272D"/>
    <w:rsid w:val="005E735A"/>
    <w:rsid w:val="005E7D47"/>
    <w:rsid w:val="005F2697"/>
    <w:rsid w:val="005F4612"/>
    <w:rsid w:val="006075EC"/>
    <w:rsid w:val="00614449"/>
    <w:rsid w:val="006160A9"/>
    <w:rsid w:val="00617E5C"/>
    <w:rsid w:val="0062041D"/>
    <w:rsid w:val="006206E3"/>
    <w:rsid w:val="006266A1"/>
    <w:rsid w:val="006334F8"/>
    <w:rsid w:val="006372B5"/>
    <w:rsid w:val="006413F1"/>
    <w:rsid w:val="00641745"/>
    <w:rsid w:val="00643315"/>
    <w:rsid w:val="00646259"/>
    <w:rsid w:val="006473E8"/>
    <w:rsid w:val="0064769D"/>
    <w:rsid w:val="00651911"/>
    <w:rsid w:val="00652580"/>
    <w:rsid w:val="00653A2D"/>
    <w:rsid w:val="00654383"/>
    <w:rsid w:val="00654A59"/>
    <w:rsid w:val="00666C54"/>
    <w:rsid w:val="006720BF"/>
    <w:rsid w:val="0067472F"/>
    <w:rsid w:val="00674B9E"/>
    <w:rsid w:val="006753B1"/>
    <w:rsid w:val="0067592A"/>
    <w:rsid w:val="0068204A"/>
    <w:rsid w:val="0068489A"/>
    <w:rsid w:val="00685E85"/>
    <w:rsid w:val="00686419"/>
    <w:rsid w:val="0069129F"/>
    <w:rsid w:val="00692B62"/>
    <w:rsid w:val="0069470C"/>
    <w:rsid w:val="00694941"/>
    <w:rsid w:val="00694D64"/>
    <w:rsid w:val="006951C6"/>
    <w:rsid w:val="00696AD3"/>
    <w:rsid w:val="006A23FE"/>
    <w:rsid w:val="006A4FEB"/>
    <w:rsid w:val="006B02CE"/>
    <w:rsid w:val="006B3FAC"/>
    <w:rsid w:val="006B4094"/>
    <w:rsid w:val="006B447D"/>
    <w:rsid w:val="006B5AF3"/>
    <w:rsid w:val="006B73EE"/>
    <w:rsid w:val="006B7702"/>
    <w:rsid w:val="006C45A5"/>
    <w:rsid w:val="006C77DD"/>
    <w:rsid w:val="006D05AF"/>
    <w:rsid w:val="006D11EF"/>
    <w:rsid w:val="006D3C60"/>
    <w:rsid w:val="006D5048"/>
    <w:rsid w:val="006D7A64"/>
    <w:rsid w:val="006E189E"/>
    <w:rsid w:val="006E5CBF"/>
    <w:rsid w:val="006F45D1"/>
    <w:rsid w:val="006F48F8"/>
    <w:rsid w:val="006F6484"/>
    <w:rsid w:val="006F6ECA"/>
    <w:rsid w:val="0070262B"/>
    <w:rsid w:val="007030C0"/>
    <w:rsid w:val="0070763F"/>
    <w:rsid w:val="00717C0A"/>
    <w:rsid w:val="00717F80"/>
    <w:rsid w:val="00721973"/>
    <w:rsid w:val="00723A95"/>
    <w:rsid w:val="007242C6"/>
    <w:rsid w:val="00727069"/>
    <w:rsid w:val="0073128D"/>
    <w:rsid w:val="007321A9"/>
    <w:rsid w:val="007342B9"/>
    <w:rsid w:val="0074389E"/>
    <w:rsid w:val="00747341"/>
    <w:rsid w:val="00747BD2"/>
    <w:rsid w:val="00747E7D"/>
    <w:rsid w:val="007503C1"/>
    <w:rsid w:val="0075362D"/>
    <w:rsid w:val="007536CC"/>
    <w:rsid w:val="007553BA"/>
    <w:rsid w:val="0075600C"/>
    <w:rsid w:val="00761867"/>
    <w:rsid w:val="007639AA"/>
    <w:rsid w:val="00765CC4"/>
    <w:rsid w:val="00767518"/>
    <w:rsid w:val="00767C84"/>
    <w:rsid w:val="00767D7B"/>
    <w:rsid w:val="007700DE"/>
    <w:rsid w:val="00770C7E"/>
    <w:rsid w:val="00774ACC"/>
    <w:rsid w:val="007755D9"/>
    <w:rsid w:val="00776272"/>
    <w:rsid w:val="00777318"/>
    <w:rsid w:val="00777DE0"/>
    <w:rsid w:val="007835B3"/>
    <w:rsid w:val="00785F4C"/>
    <w:rsid w:val="007862A2"/>
    <w:rsid w:val="00790EB1"/>
    <w:rsid w:val="00791E51"/>
    <w:rsid w:val="00797486"/>
    <w:rsid w:val="00797B9A"/>
    <w:rsid w:val="007A4342"/>
    <w:rsid w:val="007A66D3"/>
    <w:rsid w:val="007B18FB"/>
    <w:rsid w:val="007B20E2"/>
    <w:rsid w:val="007B53CA"/>
    <w:rsid w:val="007B7280"/>
    <w:rsid w:val="007B7953"/>
    <w:rsid w:val="007B79E6"/>
    <w:rsid w:val="007B7B9B"/>
    <w:rsid w:val="007C19F2"/>
    <w:rsid w:val="007C2202"/>
    <w:rsid w:val="007C3346"/>
    <w:rsid w:val="007C3611"/>
    <w:rsid w:val="007C3A2B"/>
    <w:rsid w:val="007C4838"/>
    <w:rsid w:val="007C571D"/>
    <w:rsid w:val="007D197A"/>
    <w:rsid w:val="007D2026"/>
    <w:rsid w:val="007D765F"/>
    <w:rsid w:val="007E12A5"/>
    <w:rsid w:val="007E2228"/>
    <w:rsid w:val="007E69F0"/>
    <w:rsid w:val="007E7757"/>
    <w:rsid w:val="007F1769"/>
    <w:rsid w:val="007F2099"/>
    <w:rsid w:val="007F32EA"/>
    <w:rsid w:val="007F3C51"/>
    <w:rsid w:val="007F3F23"/>
    <w:rsid w:val="007F4BE3"/>
    <w:rsid w:val="00805A2E"/>
    <w:rsid w:val="00805A4F"/>
    <w:rsid w:val="0081124F"/>
    <w:rsid w:val="00813587"/>
    <w:rsid w:val="0081524A"/>
    <w:rsid w:val="0081739D"/>
    <w:rsid w:val="00820352"/>
    <w:rsid w:val="00820DB9"/>
    <w:rsid w:val="008242C1"/>
    <w:rsid w:val="0082683E"/>
    <w:rsid w:val="00832FD2"/>
    <w:rsid w:val="0083383B"/>
    <w:rsid w:val="00857910"/>
    <w:rsid w:val="00861315"/>
    <w:rsid w:val="0086275F"/>
    <w:rsid w:val="00863EF9"/>
    <w:rsid w:val="0087170A"/>
    <w:rsid w:val="00875EF4"/>
    <w:rsid w:val="0087633A"/>
    <w:rsid w:val="00876CC4"/>
    <w:rsid w:val="00881490"/>
    <w:rsid w:val="00882AF3"/>
    <w:rsid w:val="00891EBC"/>
    <w:rsid w:val="008923AB"/>
    <w:rsid w:val="00895610"/>
    <w:rsid w:val="008974AD"/>
    <w:rsid w:val="008A3D2B"/>
    <w:rsid w:val="008A52D0"/>
    <w:rsid w:val="008A6122"/>
    <w:rsid w:val="008A6219"/>
    <w:rsid w:val="008A629F"/>
    <w:rsid w:val="008A6D58"/>
    <w:rsid w:val="008C00F9"/>
    <w:rsid w:val="008C356E"/>
    <w:rsid w:val="008C597C"/>
    <w:rsid w:val="008C67A4"/>
    <w:rsid w:val="008E2D2A"/>
    <w:rsid w:val="008E3493"/>
    <w:rsid w:val="008E39D8"/>
    <w:rsid w:val="008E57E5"/>
    <w:rsid w:val="008E7C0C"/>
    <w:rsid w:val="008E7CD9"/>
    <w:rsid w:val="008F1FAF"/>
    <w:rsid w:val="008F289B"/>
    <w:rsid w:val="008F345E"/>
    <w:rsid w:val="008F3F41"/>
    <w:rsid w:val="008F7FA5"/>
    <w:rsid w:val="00900185"/>
    <w:rsid w:val="009027D3"/>
    <w:rsid w:val="00905987"/>
    <w:rsid w:val="00910121"/>
    <w:rsid w:val="0091278A"/>
    <w:rsid w:val="00913DBE"/>
    <w:rsid w:val="0092198D"/>
    <w:rsid w:val="00922EA9"/>
    <w:rsid w:val="00923E0A"/>
    <w:rsid w:val="00923EB8"/>
    <w:rsid w:val="00926EBB"/>
    <w:rsid w:val="00931A8C"/>
    <w:rsid w:val="009334A4"/>
    <w:rsid w:val="00934B0B"/>
    <w:rsid w:val="00937152"/>
    <w:rsid w:val="0094100E"/>
    <w:rsid w:val="00942A60"/>
    <w:rsid w:val="00944521"/>
    <w:rsid w:val="009455D8"/>
    <w:rsid w:val="00950633"/>
    <w:rsid w:val="00951AC6"/>
    <w:rsid w:val="00954F37"/>
    <w:rsid w:val="00960002"/>
    <w:rsid w:val="00960DCC"/>
    <w:rsid w:val="0096647D"/>
    <w:rsid w:val="00966609"/>
    <w:rsid w:val="00970528"/>
    <w:rsid w:val="009715CE"/>
    <w:rsid w:val="00973819"/>
    <w:rsid w:val="009742AC"/>
    <w:rsid w:val="00974D29"/>
    <w:rsid w:val="00974FE7"/>
    <w:rsid w:val="00975203"/>
    <w:rsid w:val="009773E9"/>
    <w:rsid w:val="00980DEA"/>
    <w:rsid w:val="0098630D"/>
    <w:rsid w:val="00991175"/>
    <w:rsid w:val="00992342"/>
    <w:rsid w:val="00992B83"/>
    <w:rsid w:val="00993DBE"/>
    <w:rsid w:val="0099435D"/>
    <w:rsid w:val="0099521D"/>
    <w:rsid w:val="00996D0C"/>
    <w:rsid w:val="009A2D24"/>
    <w:rsid w:val="009A33AF"/>
    <w:rsid w:val="009A3955"/>
    <w:rsid w:val="009A46B1"/>
    <w:rsid w:val="009A6F61"/>
    <w:rsid w:val="009A781E"/>
    <w:rsid w:val="009B37FA"/>
    <w:rsid w:val="009B5245"/>
    <w:rsid w:val="009C098A"/>
    <w:rsid w:val="009C1653"/>
    <w:rsid w:val="009D1719"/>
    <w:rsid w:val="009D19A7"/>
    <w:rsid w:val="009D2AB3"/>
    <w:rsid w:val="009D5837"/>
    <w:rsid w:val="009D5B95"/>
    <w:rsid w:val="009D715F"/>
    <w:rsid w:val="009E1C75"/>
    <w:rsid w:val="009E3041"/>
    <w:rsid w:val="009F0660"/>
    <w:rsid w:val="009F0832"/>
    <w:rsid w:val="009F113E"/>
    <w:rsid w:val="009F2251"/>
    <w:rsid w:val="009F3C6F"/>
    <w:rsid w:val="009F3F72"/>
    <w:rsid w:val="009F5C67"/>
    <w:rsid w:val="009F5DEE"/>
    <w:rsid w:val="00A03CDA"/>
    <w:rsid w:val="00A061D9"/>
    <w:rsid w:val="00A07559"/>
    <w:rsid w:val="00A07650"/>
    <w:rsid w:val="00A21378"/>
    <w:rsid w:val="00A26A6B"/>
    <w:rsid w:val="00A26F53"/>
    <w:rsid w:val="00A30CA9"/>
    <w:rsid w:val="00A3424D"/>
    <w:rsid w:val="00A348D1"/>
    <w:rsid w:val="00A35ADC"/>
    <w:rsid w:val="00A35DDA"/>
    <w:rsid w:val="00A37CB3"/>
    <w:rsid w:val="00A402CA"/>
    <w:rsid w:val="00A440C2"/>
    <w:rsid w:val="00A4604E"/>
    <w:rsid w:val="00A46E36"/>
    <w:rsid w:val="00A52A95"/>
    <w:rsid w:val="00A54379"/>
    <w:rsid w:val="00A55491"/>
    <w:rsid w:val="00A63525"/>
    <w:rsid w:val="00A6650C"/>
    <w:rsid w:val="00A71306"/>
    <w:rsid w:val="00A74B99"/>
    <w:rsid w:val="00A76633"/>
    <w:rsid w:val="00A766D0"/>
    <w:rsid w:val="00A77676"/>
    <w:rsid w:val="00A82D9E"/>
    <w:rsid w:val="00A847EE"/>
    <w:rsid w:val="00A86630"/>
    <w:rsid w:val="00A901F8"/>
    <w:rsid w:val="00A91602"/>
    <w:rsid w:val="00A91E7E"/>
    <w:rsid w:val="00AA457C"/>
    <w:rsid w:val="00AA7335"/>
    <w:rsid w:val="00AA7844"/>
    <w:rsid w:val="00AB0FB2"/>
    <w:rsid w:val="00AB232F"/>
    <w:rsid w:val="00AC062E"/>
    <w:rsid w:val="00AC43F4"/>
    <w:rsid w:val="00AC73B3"/>
    <w:rsid w:val="00AD1370"/>
    <w:rsid w:val="00AD3762"/>
    <w:rsid w:val="00AD623D"/>
    <w:rsid w:val="00AD7E1D"/>
    <w:rsid w:val="00AE0853"/>
    <w:rsid w:val="00AE1575"/>
    <w:rsid w:val="00AE36B3"/>
    <w:rsid w:val="00AE38FF"/>
    <w:rsid w:val="00AE460C"/>
    <w:rsid w:val="00AF10C3"/>
    <w:rsid w:val="00AF35CF"/>
    <w:rsid w:val="00AF4EB2"/>
    <w:rsid w:val="00B03CA5"/>
    <w:rsid w:val="00B11AB6"/>
    <w:rsid w:val="00B11B0A"/>
    <w:rsid w:val="00B15262"/>
    <w:rsid w:val="00B17A66"/>
    <w:rsid w:val="00B20ABD"/>
    <w:rsid w:val="00B214CB"/>
    <w:rsid w:val="00B24972"/>
    <w:rsid w:val="00B33CCF"/>
    <w:rsid w:val="00B34B37"/>
    <w:rsid w:val="00B37950"/>
    <w:rsid w:val="00B41159"/>
    <w:rsid w:val="00B415E0"/>
    <w:rsid w:val="00B44056"/>
    <w:rsid w:val="00B45E57"/>
    <w:rsid w:val="00B467C9"/>
    <w:rsid w:val="00B468CD"/>
    <w:rsid w:val="00B4737E"/>
    <w:rsid w:val="00B57D94"/>
    <w:rsid w:val="00B6011D"/>
    <w:rsid w:val="00B64B60"/>
    <w:rsid w:val="00B67182"/>
    <w:rsid w:val="00B7095F"/>
    <w:rsid w:val="00B711D8"/>
    <w:rsid w:val="00B7187B"/>
    <w:rsid w:val="00B7221E"/>
    <w:rsid w:val="00B731CA"/>
    <w:rsid w:val="00B7647D"/>
    <w:rsid w:val="00B8259B"/>
    <w:rsid w:val="00B836D3"/>
    <w:rsid w:val="00B86567"/>
    <w:rsid w:val="00B871C4"/>
    <w:rsid w:val="00B90EDD"/>
    <w:rsid w:val="00B92E32"/>
    <w:rsid w:val="00BA2070"/>
    <w:rsid w:val="00BA2445"/>
    <w:rsid w:val="00BA46E7"/>
    <w:rsid w:val="00BA6021"/>
    <w:rsid w:val="00BA6A59"/>
    <w:rsid w:val="00BB147B"/>
    <w:rsid w:val="00BB35E5"/>
    <w:rsid w:val="00BB4A91"/>
    <w:rsid w:val="00BC5570"/>
    <w:rsid w:val="00BD01F0"/>
    <w:rsid w:val="00BD13B4"/>
    <w:rsid w:val="00BD3A13"/>
    <w:rsid w:val="00BD407C"/>
    <w:rsid w:val="00BD4177"/>
    <w:rsid w:val="00BD509E"/>
    <w:rsid w:val="00BD5288"/>
    <w:rsid w:val="00BD55B0"/>
    <w:rsid w:val="00BD5621"/>
    <w:rsid w:val="00BE191D"/>
    <w:rsid w:val="00BE3E33"/>
    <w:rsid w:val="00BE68D1"/>
    <w:rsid w:val="00BE7AD8"/>
    <w:rsid w:val="00BF27E8"/>
    <w:rsid w:val="00BF3191"/>
    <w:rsid w:val="00BF390B"/>
    <w:rsid w:val="00BF7C91"/>
    <w:rsid w:val="00C00919"/>
    <w:rsid w:val="00C04248"/>
    <w:rsid w:val="00C04CA0"/>
    <w:rsid w:val="00C078AF"/>
    <w:rsid w:val="00C121A9"/>
    <w:rsid w:val="00C16615"/>
    <w:rsid w:val="00C2233D"/>
    <w:rsid w:val="00C22C2F"/>
    <w:rsid w:val="00C32218"/>
    <w:rsid w:val="00C32CC1"/>
    <w:rsid w:val="00C33A49"/>
    <w:rsid w:val="00C364E5"/>
    <w:rsid w:val="00C439A3"/>
    <w:rsid w:val="00C43EA6"/>
    <w:rsid w:val="00C514D0"/>
    <w:rsid w:val="00C536D2"/>
    <w:rsid w:val="00C60D1B"/>
    <w:rsid w:val="00C61CF5"/>
    <w:rsid w:val="00C624D3"/>
    <w:rsid w:val="00C670B2"/>
    <w:rsid w:val="00C6756F"/>
    <w:rsid w:val="00C70086"/>
    <w:rsid w:val="00C71055"/>
    <w:rsid w:val="00C73CC3"/>
    <w:rsid w:val="00C8028F"/>
    <w:rsid w:val="00C80503"/>
    <w:rsid w:val="00C8537E"/>
    <w:rsid w:val="00CA3C67"/>
    <w:rsid w:val="00CA4E3E"/>
    <w:rsid w:val="00CA79D3"/>
    <w:rsid w:val="00CB320E"/>
    <w:rsid w:val="00CB7F38"/>
    <w:rsid w:val="00CC328B"/>
    <w:rsid w:val="00CC5631"/>
    <w:rsid w:val="00CC66EB"/>
    <w:rsid w:val="00CC722C"/>
    <w:rsid w:val="00CC74E0"/>
    <w:rsid w:val="00CD041A"/>
    <w:rsid w:val="00CD1442"/>
    <w:rsid w:val="00CD6C42"/>
    <w:rsid w:val="00CD7C54"/>
    <w:rsid w:val="00CE3D43"/>
    <w:rsid w:val="00CE54A6"/>
    <w:rsid w:val="00CF3BA9"/>
    <w:rsid w:val="00CF4513"/>
    <w:rsid w:val="00CF4E7B"/>
    <w:rsid w:val="00CF7C2C"/>
    <w:rsid w:val="00D0070C"/>
    <w:rsid w:val="00D00A50"/>
    <w:rsid w:val="00D027D8"/>
    <w:rsid w:val="00D0674E"/>
    <w:rsid w:val="00D10D0E"/>
    <w:rsid w:val="00D12760"/>
    <w:rsid w:val="00D13B86"/>
    <w:rsid w:val="00D15001"/>
    <w:rsid w:val="00D2423F"/>
    <w:rsid w:val="00D31A60"/>
    <w:rsid w:val="00D35AD7"/>
    <w:rsid w:val="00D36B85"/>
    <w:rsid w:val="00D37F02"/>
    <w:rsid w:val="00D44220"/>
    <w:rsid w:val="00D45C9A"/>
    <w:rsid w:val="00D46EEF"/>
    <w:rsid w:val="00D52E96"/>
    <w:rsid w:val="00D53786"/>
    <w:rsid w:val="00D54619"/>
    <w:rsid w:val="00D54E36"/>
    <w:rsid w:val="00D6087F"/>
    <w:rsid w:val="00D61D0D"/>
    <w:rsid w:val="00D641E8"/>
    <w:rsid w:val="00D66DFC"/>
    <w:rsid w:val="00D67D14"/>
    <w:rsid w:val="00D72039"/>
    <w:rsid w:val="00D74D73"/>
    <w:rsid w:val="00D81EE7"/>
    <w:rsid w:val="00DA187D"/>
    <w:rsid w:val="00DA21F3"/>
    <w:rsid w:val="00DA3544"/>
    <w:rsid w:val="00DA6444"/>
    <w:rsid w:val="00DB1492"/>
    <w:rsid w:val="00DB1E3A"/>
    <w:rsid w:val="00DB6912"/>
    <w:rsid w:val="00DC2FA0"/>
    <w:rsid w:val="00DC5CDE"/>
    <w:rsid w:val="00DC6717"/>
    <w:rsid w:val="00DD3B52"/>
    <w:rsid w:val="00DD410B"/>
    <w:rsid w:val="00DD4FE6"/>
    <w:rsid w:val="00DD6D61"/>
    <w:rsid w:val="00DE5B80"/>
    <w:rsid w:val="00DF01E0"/>
    <w:rsid w:val="00DF14FC"/>
    <w:rsid w:val="00DF165E"/>
    <w:rsid w:val="00DF2BD7"/>
    <w:rsid w:val="00DF4F5E"/>
    <w:rsid w:val="00DF5345"/>
    <w:rsid w:val="00DF5CA0"/>
    <w:rsid w:val="00DF7198"/>
    <w:rsid w:val="00DF7AA8"/>
    <w:rsid w:val="00E00667"/>
    <w:rsid w:val="00E03A2C"/>
    <w:rsid w:val="00E07C17"/>
    <w:rsid w:val="00E205B6"/>
    <w:rsid w:val="00E21403"/>
    <w:rsid w:val="00E228AF"/>
    <w:rsid w:val="00E31462"/>
    <w:rsid w:val="00E3478F"/>
    <w:rsid w:val="00E35329"/>
    <w:rsid w:val="00E40EC9"/>
    <w:rsid w:val="00E4157E"/>
    <w:rsid w:val="00E41DF6"/>
    <w:rsid w:val="00E41F05"/>
    <w:rsid w:val="00E43E42"/>
    <w:rsid w:val="00E5258F"/>
    <w:rsid w:val="00E530D7"/>
    <w:rsid w:val="00E546CF"/>
    <w:rsid w:val="00E55891"/>
    <w:rsid w:val="00E55AD8"/>
    <w:rsid w:val="00E57861"/>
    <w:rsid w:val="00E57A66"/>
    <w:rsid w:val="00E60402"/>
    <w:rsid w:val="00E61196"/>
    <w:rsid w:val="00E6196B"/>
    <w:rsid w:val="00E61E9F"/>
    <w:rsid w:val="00E623C3"/>
    <w:rsid w:val="00E65E93"/>
    <w:rsid w:val="00E70467"/>
    <w:rsid w:val="00E71EFF"/>
    <w:rsid w:val="00E72AD1"/>
    <w:rsid w:val="00E72F76"/>
    <w:rsid w:val="00E73EA7"/>
    <w:rsid w:val="00E751D3"/>
    <w:rsid w:val="00E77C62"/>
    <w:rsid w:val="00E80E8A"/>
    <w:rsid w:val="00E879C3"/>
    <w:rsid w:val="00E90A25"/>
    <w:rsid w:val="00E90BD7"/>
    <w:rsid w:val="00E91951"/>
    <w:rsid w:val="00E95D67"/>
    <w:rsid w:val="00EA3153"/>
    <w:rsid w:val="00EA7191"/>
    <w:rsid w:val="00EB247E"/>
    <w:rsid w:val="00EB35C2"/>
    <w:rsid w:val="00EB522A"/>
    <w:rsid w:val="00EC25B4"/>
    <w:rsid w:val="00EC3D34"/>
    <w:rsid w:val="00EC57AA"/>
    <w:rsid w:val="00EC62CD"/>
    <w:rsid w:val="00EC667A"/>
    <w:rsid w:val="00EC6C90"/>
    <w:rsid w:val="00ED0099"/>
    <w:rsid w:val="00EE032D"/>
    <w:rsid w:val="00EE155E"/>
    <w:rsid w:val="00EE1B44"/>
    <w:rsid w:val="00EE2FE6"/>
    <w:rsid w:val="00EF1FAF"/>
    <w:rsid w:val="00EF3301"/>
    <w:rsid w:val="00EF583B"/>
    <w:rsid w:val="00F12CEE"/>
    <w:rsid w:val="00F152A9"/>
    <w:rsid w:val="00F16611"/>
    <w:rsid w:val="00F20A70"/>
    <w:rsid w:val="00F22717"/>
    <w:rsid w:val="00F22FEF"/>
    <w:rsid w:val="00F2385A"/>
    <w:rsid w:val="00F23ABD"/>
    <w:rsid w:val="00F23E3C"/>
    <w:rsid w:val="00F23EE2"/>
    <w:rsid w:val="00F26759"/>
    <w:rsid w:val="00F2740D"/>
    <w:rsid w:val="00F30045"/>
    <w:rsid w:val="00F37D38"/>
    <w:rsid w:val="00F40B4D"/>
    <w:rsid w:val="00F4467F"/>
    <w:rsid w:val="00F47C1B"/>
    <w:rsid w:val="00F50AFF"/>
    <w:rsid w:val="00F51870"/>
    <w:rsid w:val="00F52A6A"/>
    <w:rsid w:val="00F5691A"/>
    <w:rsid w:val="00F6011E"/>
    <w:rsid w:val="00F6261F"/>
    <w:rsid w:val="00F678FB"/>
    <w:rsid w:val="00F8696D"/>
    <w:rsid w:val="00F87886"/>
    <w:rsid w:val="00F87EB1"/>
    <w:rsid w:val="00F90EF4"/>
    <w:rsid w:val="00F91B54"/>
    <w:rsid w:val="00F94395"/>
    <w:rsid w:val="00F947D7"/>
    <w:rsid w:val="00F95E25"/>
    <w:rsid w:val="00FA1D2F"/>
    <w:rsid w:val="00FA1F33"/>
    <w:rsid w:val="00FA66D1"/>
    <w:rsid w:val="00FA7A9F"/>
    <w:rsid w:val="00FB0992"/>
    <w:rsid w:val="00FB6BFB"/>
    <w:rsid w:val="00FD40B5"/>
    <w:rsid w:val="00FD4E67"/>
    <w:rsid w:val="00FD7E0F"/>
    <w:rsid w:val="00FE106F"/>
    <w:rsid w:val="00FE244C"/>
    <w:rsid w:val="00FE3B38"/>
    <w:rsid w:val="00FE6B26"/>
    <w:rsid w:val="00FE7E6F"/>
    <w:rsid w:val="00FE7FE4"/>
    <w:rsid w:val="00FF01FE"/>
    <w:rsid w:val="00FF35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57708"/>
  <w15:chartTrackingRefBased/>
  <w15:docId w15:val="{D0559E2B-BD96-4080-AE18-DA89A73A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B247E"/>
    <w:pPr>
      <w:spacing w:after="240" w:line="360" w:lineRule="auto"/>
      <w:jc w:val="both"/>
      <w:outlineLvl w:val="1"/>
    </w:pPr>
    <w:rPr>
      <w:rFonts w:ascii="Garamond" w:hAnsi="Garamond"/>
      <w:i/>
      <w:iCs/>
      <w:kern w:val="2"/>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Heading2Char">
    <w:name w:val="Heading 2 Char"/>
    <w:basedOn w:val="DefaultParagraphFont"/>
    <w:link w:val="Heading2"/>
    <w:uiPriority w:val="9"/>
    <w:semiHidden/>
    <w:qFormat/>
    <w:rsid w:val="00EB247E"/>
    <w:rPr>
      <w:rFonts w:ascii="Garamond" w:hAnsi="Garamond"/>
      <w:i/>
      <w:iCs/>
      <w:kern w:val="2"/>
      <w:sz w:val="24"/>
      <w:szCs w:val="24"/>
      <w:u w:val="single"/>
      <w:lang w:eastAsia="ja-JP"/>
    </w:rPr>
  </w:style>
  <w:style w:type="paragraph" w:styleId="FootnoteText">
    <w:name w:val="footnote text"/>
    <w:basedOn w:val="Normal"/>
    <w:link w:val="FootnoteTextChar"/>
    <w:uiPriority w:val="99"/>
    <w:unhideWhenUsed/>
    <w:qFormat/>
    <w:rsid w:val="00EB247E"/>
    <w:rPr>
      <w:rFonts w:ascii="Aptos" w:hAnsi="Aptos" w:cs="Arial"/>
      <w:kern w:val="2"/>
      <w:sz w:val="20"/>
      <w:szCs w:val="20"/>
      <w:lang w:eastAsia="ja-JP"/>
    </w:rPr>
  </w:style>
  <w:style w:type="character" w:customStyle="1" w:styleId="FootnoteTextChar">
    <w:name w:val="Footnote Text Char"/>
    <w:basedOn w:val="DefaultParagraphFont"/>
    <w:link w:val="FootnoteText"/>
    <w:uiPriority w:val="99"/>
    <w:qFormat/>
    <w:rsid w:val="00EB247E"/>
    <w:rPr>
      <w:rFonts w:ascii="Aptos" w:hAnsi="Aptos" w:cs="Arial"/>
      <w:kern w:val="2"/>
      <w:lang w:eastAsia="ja-JP"/>
    </w:rPr>
  </w:style>
  <w:style w:type="paragraph" w:styleId="ListParagraph">
    <w:name w:val="List Paragraph"/>
    <w:basedOn w:val="Normal"/>
    <w:uiPriority w:val="34"/>
    <w:qFormat/>
    <w:rsid w:val="00EB247E"/>
    <w:pPr>
      <w:spacing w:after="160" w:line="276" w:lineRule="auto"/>
      <w:ind w:left="720"/>
      <w:contextualSpacing/>
    </w:pPr>
    <w:rPr>
      <w:rFonts w:ascii="Aptos" w:hAnsi="Aptos" w:cs="Arial"/>
      <w:kern w:val="2"/>
      <w:lang w:eastAsia="ja-JP"/>
    </w:rPr>
  </w:style>
  <w:style w:type="character" w:styleId="FootnoteReference">
    <w:name w:val="footnote reference"/>
    <w:uiPriority w:val="99"/>
    <w:unhideWhenUsed/>
    <w:qFormat/>
    <w:rsid w:val="00EB247E"/>
    <w:rPr>
      <w:vertAlign w:val="superscript"/>
    </w:rPr>
  </w:style>
  <w:style w:type="character" w:styleId="Hyperlink">
    <w:name w:val="Hyperlink"/>
    <w:basedOn w:val="DefaultParagraphFont"/>
    <w:rsid w:val="00E70467"/>
    <w:rPr>
      <w:color w:val="0563C1" w:themeColor="hyperlink"/>
      <w:u w:val="single"/>
    </w:rPr>
  </w:style>
  <w:style w:type="character" w:styleId="UnresolvedMention">
    <w:name w:val="Unresolved Mention"/>
    <w:basedOn w:val="DefaultParagraphFont"/>
    <w:uiPriority w:val="99"/>
    <w:semiHidden/>
    <w:unhideWhenUsed/>
    <w:rsid w:val="00E70467"/>
    <w:rPr>
      <w:color w:val="605E5C"/>
      <w:shd w:val="clear" w:color="auto" w:fill="E1DFDD"/>
    </w:rPr>
  </w:style>
  <w:style w:type="paragraph" w:styleId="CommentText">
    <w:name w:val="annotation text"/>
    <w:basedOn w:val="Normal"/>
    <w:link w:val="CommentTextChar"/>
    <w:unhideWhenUsed/>
    <w:rsid w:val="004C36E0"/>
    <w:rPr>
      <w:sz w:val="20"/>
      <w:szCs w:val="20"/>
    </w:rPr>
  </w:style>
  <w:style w:type="character" w:customStyle="1" w:styleId="CommentTextChar">
    <w:name w:val="Comment Text Char"/>
    <w:basedOn w:val="DefaultParagraphFont"/>
    <w:link w:val="CommentText"/>
    <w:rsid w:val="004C36E0"/>
    <w:rPr>
      <w:lang w:eastAsia="en-US"/>
    </w:rPr>
  </w:style>
  <w:style w:type="character" w:styleId="CommentReference">
    <w:name w:val="annotation reference"/>
    <w:unhideWhenUsed/>
    <w:rsid w:val="004C36E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4794">
      <w:bodyDiv w:val="1"/>
      <w:marLeft w:val="0"/>
      <w:marRight w:val="0"/>
      <w:marTop w:val="0"/>
      <w:marBottom w:val="0"/>
      <w:divBdr>
        <w:top w:val="none" w:sz="0" w:space="0" w:color="auto"/>
        <w:left w:val="none" w:sz="0" w:space="0" w:color="auto"/>
        <w:bottom w:val="none" w:sz="0" w:space="0" w:color="auto"/>
        <w:right w:val="none" w:sz="0" w:space="0" w:color="auto"/>
      </w:divBdr>
    </w:div>
    <w:div w:id="148863802">
      <w:bodyDiv w:val="1"/>
      <w:marLeft w:val="0"/>
      <w:marRight w:val="0"/>
      <w:marTop w:val="0"/>
      <w:marBottom w:val="0"/>
      <w:divBdr>
        <w:top w:val="none" w:sz="0" w:space="0" w:color="auto"/>
        <w:left w:val="none" w:sz="0" w:space="0" w:color="auto"/>
        <w:bottom w:val="none" w:sz="0" w:space="0" w:color="auto"/>
        <w:right w:val="none" w:sz="0" w:space="0" w:color="auto"/>
      </w:divBdr>
    </w:div>
    <w:div w:id="204026145">
      <w:bodyDiv w:val="1"/>
      <w:marLeft w:val="0"/>
      <w:marRight w:val="0"/>
      <w:marTop w:val="0"/>
      <w:marBottom w:val="0"/>
      <w:divBdr>
        <w:top w:val="none" w:sz="0" w:space="0" w:color="auto"/>
        <w:left w:val="none" w:sz="0" w:space="0" w:color="auto"/>
        <w:bottom w:val="none" w:sz="0" w:space="0" w:color="auto"/>
        <w:right w:val="none" w:sz="0" w:space="0" w:color="auto"/>
      </w:divBdr>
    </w:div>
    <w:div w:id="224074966">
      <w:bodyDiv w:val="1"/>
      <w:marLeft w:val="0"/>
      <w:marRight w:val="0"/>
      <w:marTop w:val="0"/>
      <w:marBottom w:val="0"/>
      <w:divBdr>
        <w:top w:val="none" w:sz="0" w:space="0" w:color="auto"/>
        <w:left w:val="none" w:sz="0" w:space="0" w:color="auto"/>
        <w:bottom w:val="none" w:sz="0" w:space="0" w:color="auto"/>
        <w:right w:val="none" w:sz="0" w:space="0" w:color="auto"/>
      </w:divBdr>
      <w:divsChild>
        <w:div w:id="34671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036276">
      <w:bodyDiv w:val="1"/>
      <w:marLeft w:val="0"/>
      <w:marRight w:val="0"/>
      <w:marTop w:val="0"/>
      <w:marBottom w:val="0"/>
      <w:divBdr>
        <w:top w:val="none" w:sz="0" w:space="0" w:color="auto"/>
        <w:left w:val="none" w:sz="0" w:space="0" w:color="auto"/>
        <w:bottom w:val="none" w:sz="0" w:space="0" w:color="auto"/>
        <w:right w:val="none" w:sz="0" w:space="0" w:color="auto"/>
      </w:divBdr>
      <w:divsChild>
        <w:div w:id="1436172037">
          <w:marLeft w:val="547"/>
          <w:marRight w:val="0"/>
          <w:marTop w:val="96"/>
          <w:marBottom w:val="0"/>
          <w:divBdr>
            <w:top w:val="none" w:sz="0" w:space="0" w:color="auto"/>
            <w:left w:val="none" w:sz="0" w:space="0" w:color="auto"/>
            <w:bottom w:val="none" w:sz="0" w:space="0" w:color="auto"/>
            <w:right w:val="none" w:sz="0" w:space="0" w:color="auto"/>
          </w:divBdr>
        </w:div>
        <w:div w:id="1070614788">
          <w:marLeft w:val="547"/>
          <w:marRight w:val="0"/>
          <w:marTop w:val="96"/>
          <w:marBottom w:val="0"/>
          <w:divBdr>
            <w:top w:val="none" w:sz="0" w:space="0" w:color="auto"/>
            <w:left w:val="none" w:sz="0" w:space="0" w:color="auto"/>
            <w:bottom w:val="none" w:sz="0" w:space="0" w:color="auto"/>
            <w:right w:val="none" w:sz="0" w:space="0" w:color="auto"/>
          </w:divBdr>
        </w:div>
        <w:div w:id="1252272612">
          <w:marLeft w:val="547"/>
          <w:marRight w:val="0"/>
          <w:marTop w:val="96"/>
          <w:marBottom w:val="0"/>
          <w:divBdr>
            <w:top w:val="none" w:sz="0" w:space="0" w:color="auto"/>
            <w:left w:val="none" w:sz="0" w:space="0" w:color="auto"/>
            <w:bottom w:val="none" w:sz="0" w:space="0" w:color="auto"/>
            <w:right w:val="none" w:sz="0" w:space="0" w:color="auto"/>
          </w:divBdr>
        </w:div>
      </w:divsChild>
    </w:div>
    <w:div w:id="304942010">
      <w:bodyDiv w:val="1"/>
      <w:marLeft w:val="0"/>
      <w:marRight w:val="0"/>
      <w:marTop w:val="0"/>
      <w:marBottom w:val="0"/>
      <w:divBdr>
        <w:top w:val="none" w:sz="0" w:space="0" w:color="auto"/>
        <w:left w:val="none" w:sz="0" w:space="0" w:color="auto"/>
        <w:bottom w:val="none" w:sz="0" w:space="0" w:color="auto"/>
        <w:right w:val="none" w:sz="0" w:space="0" w:color="auto"/>
      </w:divBdr>
    </w:div>
    <w:div w:id="338196233">
      <w:bodyDiv w:val="1"/>
      <w:marLeft w:val="0"/>
      <w:marRight w:val="0"/>
      <w:marTop w:val="0"/>
      <w:marBottom w:val="0"/>
      <w:divBdr>
        <w:top w:val="none" w:sz="0" w:space="0" w:color="auto"/>
        <w:left w:val="none" w:sz="0" w:space="0" w:color="auto"/>
        <w:bottom w:val="none" w:sz="0" w:space="0" w:color="auto"/>
        <w:right w:val="none" w:sz="0" w:space="0" w:color="auto"/>
      </w:divBdr>
    </w:div>
    <w:div w:id="359166198">
      <w:bodyDiv w:val="1"/>
      <w:marLeft w:val="0"/>
      <w:marRight w:val="0"/>
      <w:marTop w:val="0"/>
      <w:marBottom w:val="0"/>
      <w:divBdr>
        <w:top w:val="none" w:sz="0" w:space="0" w:color="auto"/>
        <w:left w:val="none" w:sz="0" w:space="0" w:color="auto"/>
        <w:bottom w:val="none" w:sz="0" w:space="0" w:color="auto"/>
        <w:right w:val="none" w:sz="0" w:space="0" w:color="auto"/>
      </w:divBdr>
    </w:div>
    <w:div w:id="418866941">
      <w:bodyDiv w:val="1"/>
      <w:marLeft w:val="0"/>
      <w:marRight w:val="0"/>
      <w:marTop w:val="0"/>
      <w:marBottom w:val="0"/>
      <w:divBdr>
        <w:top w:val="none" w:sz="0" w:space="0" w:color="auto"/>
        <w:left w:val="none" w:sz="0" w:space="0" w:color="auto"/>
        <w:bottom w:val="none" w:sz="0" w:space="0" w:color="auto"/>
        <w:right w:val="none" w:sz="0" w:space="0" w:color="auto"/>
      </w:divBdr>
    </w:div>
    <w:div w:id="419327831">
      <w:bodyDiv w:val="1"/>
      <w:marLeft w:val="0"/>
      <w:marRight w:val="0"/>
      <w:marTop w:val="0"/>
      <w:marBottom w:val="0"/>
      <w:divBdr>
        <w:top w:val="none" w:sz="0" w:space="0" w:color="auto"/>
        <w:left w:val="none" w:sz="0" w:space="0" w:color="auto"/>
        <w:bottom w:val="none" w:sz="0" w:space="0" w:color="auto"/>
        <w:right w:val="none" w:sz="0" w:space="0" w:color="auto"/>
      </w:divBdr>
    </w:div>
    <w:div w:id="447512110">
      <w:bodyDiv w:val="1"/>
      <w:marLeft w:val="0"/>
      <w:marRight w:val="0"/>
      <w:marTop w:val="0"/>
      <w:marBottom w:val="0"/>
      <w:divBdr>
        <w:top w:val="none" w:sz="0" w:space="0" w:color="auto"/>
        <w:left w:val="none" w:sz="0" w:space="0" w:color="auto"/>
        <w:bottom w:val="none" w:sz="0" w:space="0" w:color="auto"/>
        <w:right w:val="none" w:sz="0" w:space="0" w:color="auto"/>
      </w:divBdr>
    </w:div>
    <w:div w:id="491680731">
      <w:bodyDiv w:val="1"/>
      <w:marLeft w:val="0"/>
      <w:marRight w:val="0"/>
      <w:marTop w:val="0"/>
      <w:marBottom w:val="0"/>
      <w:divBdr>
        <w:top w:val="none" w:sz="0" w:space="0" w:color="auto"/>
        <w:left w:val="none" w:sz="0" w:space="0" w:color="auto"/>
        <w:bottom w:val="none" w:sz="0" w:space="0" w:color="auto"/>
        <w:right w:val="none" w:sz="0" w:space="0" w:color="auto"/>
      </w:divBdr>
    </w:div>
    <w:div w:id="570120527">
      <w:bodyDiv w:val="1"/>
      <w:marLeft w:val="0"/>
      <w:marRight w:val="0"/>
      <w:marTop w:val="0"/>
      <w:marBottom w:val="0"/>
      <w:divBdr>
        <w:top w:val="none" w:sz="0" w:space="0" w:color="auto"/>
        <w:left w:val="none" w:sz="0" w:space="0" w:color="auto"/>
        <w:bottom w:val="none" w:sz="0" w:space="0" w:color="auto"/>
        <w:right w:val="none" w:sz="0" w:space="0" w:color="auto"/>
      </w:divBdr>
      <w:divsChild>
        <w:div w:id="70352292">
          <w:marLeft w:val="547"/>
          <w:marRight w:val="0"/>
          <w:marTop w:val="96"/>
          <w:marBottom w:val="0"/>
          <w:divBdr>
            <w:top w:val="none" w:sz="0" w:space="0" w:color="auto"/>
            <w:left w:val="none" w:sz="0" w:space="0" w:color="auto"/>
            <w:bottom w:val="none" w:sz="0" w:space="0" w:color="auto"/>
            <w:right w:val="none" w:sz="0" w:space="0" w:color="auto"/>
          </w:divBdr>
        </w:div>
      </w:divsChild>
    </w:div>
    <w:div w:id="604457929">
      <w:bodyDiv w:val="1"/>
      <w:marLeft w:val="0"/>
      <w:marRight w:val="0"/>
      <w:marTop w:val="0"/>
      <w:marBottom w:val="0"/>
      <w:divBdr>
        <w:top w:val="none" w:sz="0" w:space="0" w:color="auto"/>
        <w:left w:val="none" w:sz="0" w:space="0" w:color="auto"/>
        <w:bottom w:val="none" w:sz="0" w:space="0" w:color="auto"/>
        <w:right w:val="none" w:sz="0" w:space="0" w:color="auto"/>
      </w:divBdr>
    </w:div>
    <w:div w:id="706367338">
      <w:bodyDiv w:val="1"/>
      <w:marLeft w:val="0"/>
      <w:marRight w:val="0"/>
      <w:marTop w:val="0"/>
      <w:marBottom w:val="0"/>
      <w:divBdr>
        <w:top w:val="none" w:sz="0" w:space="0" w:color="auto"/>
        <w:left w:val="none" w:sz="0" w:space="0" w:color="auto"/>
        <w:bottom w:val="none" w:sz="0" w:space="0" w:color="auto"/>
        <w:right w:val="none" w:sz="0" w:space="0" w:color="auto"/>
      </w:divBdr>
    </w:div>
    <w:div w:id="780956854">
      <w:bodyDiv w:val="1"/>
      <w:marLeft w:val="0"/>
      <w:marRight w:val="0"/>
      <w:marTop w:val="0"/>
      <w:marBottom w:val="0"/>
      <w:divBdr>
        <w:top w:val="none" w:sz="0" w:space="0" w:color="auto"/>
        <w:left w:val="none" w:sz="0" w:space="0" w:color="auto"/>
        <w:bottom w:val="none" w:sz="0" w:space="0" w:color="auto"/>
        <w:right w:val="none" w:sz="0" w:space="0" w:color="auto"/>
      </w:divBdr>
    </w:div>
    <w:div w:id="784695090">
      <w:bodyDiv w:val="1"/>
      <w:marLeft w:val="0"/>
      <w:marRight w:val="0"/>
      <w:marTop w:val="0"/>
      <w:marBottom w:val="0"/>
      <w:divBdr>
        <w:top w:val="none" w:sz="0" w:space="0" w:color="auto"/>
        <w:left w:val="none" w:sz="0" w:space="0" w:color="auto"/>
        <w:bottom w:val="none" w:sz="0" w:space="0" w:color="auto"/>
        <w:right w:val="none" w:sz="0" w:space="0" w:color="auto"/>
      </w:divBdr>
    </w:div>
    <w:div w:id="837773178">
      <w:bodyDiv w:val="1"/>
      <w:marLeft w:val="0"/>
      <w:marRight w:val="0"/>
      <w:marTop w:val="0"/>
      <w:marBottom w:val="0"/>
      <w:divBdr>
        <w:top w:val="none" w:sz="0" w:space="0" w:color="auto"/>
        <w:left w:val="none" w:sz="0" w:space="0" w:color="auto"/>
        <w:bottom w:val="none" w:sz="0" w:space="0" w:color="auto"/>
        <w:right w:val="none" w:sz="0" w:space="0" w:color="auto"/>
      </w:divBdr>
    </w:div>
    <w:div w:id="877279110">
      <w:bodyDiv w:val="1"/>
      <w:marLeft w:val="0"/>
      <w:marRight w:val="0"/>
      <w:marTop w:val="0"/>
      <w:marBottom w:val="0"/>
      <w:divBdr>
        <w:top w:val="none" w:sz="0" w:space="0" w:color="auto"/>
        <w:left w:val="none" w:sz="0" w:space="0" w:color="auto"/>
        <w:bottom w:val="none" w:sz="0" w:space="0" w:color="auto"/>
        <w:right w:val="none" w:sz="0" w:space="0" w:color="auto"/>
      </w:divBdr>
    </w:div>
    <w:div w:id="917523598">
      <w:bodyDiv w:val="1"/>
      <w:marLeft w:val="0"/>
      <w:marRight w:val="0"/>
      <w:marTop w:val="0"/>
      <w:marBottom w:val="0"/>
      <w:divBdr>
        <w:top w:val="none" w:sz="0" w:space="0" w:color="auto"/>
        <w:left w:val="none" w:sz="0" w:space="0" w:color="auto"/>
        <w:bottom w:val="none" w:sz="0" w:space="0" w:color="auto"/>
        <w:right w:val="none" w:sz="0" w:space="0" w:color="auto"/>
      </w:divBdr>
    </w:div>
    <w:div w:id="931009369">
      <w:bodyDiv w:val="1"/>
      <w:marLeft w:val="0"/>
      <w:marRight w:val="0"/>
      <w:marTop w:val="0"/>
      <w:marBottom w:val="0"/>
      <w:divBdr>
        <w:top w:val="none" w:sz="0" w:space="0" w:color="auto"/>
        <w:left w:val="none" w:sz="0" w:space="0" w:color="auto"/>
        <w:bottom w:val="none" w:sz="0" w:space="0" w:color="auto"/>
        <w:right w:val="none" w:sz="0" w:space="0" w:color="auto"/>
      </w:divBdr>
    </w:div>
    <w:div w:id="935477244">
      <w:bodyDiv w:val="1"/>
      <w:marLeft w:val="0"/>
      <w:marRight w:val="0"/>
      <w:marTop w:val="0"/>
      <w:marBottom w:val="0"/>
      <w:divBdr>
        <w:top w:val="none" w:sz="0" w:space="0" w:color="auto"/>
        <w:left w:val="none" w:sz="0" w:space="0" w:color="auto"/>
        <w:bottom w:val="none" w:sz="0" w:space="0" w:color="auto"/>
        <w:right w:val="none" w:sz="0" w:space="0" w:color="auto"/>
      </w:divBdr>
    </w:div>
    <w:div w:id="1094009268">
      <w:bodyDiv w:val="1"/>
      <w:marLeft w:val="0"/>
      <w:marRight w:val="0"/>
      <w:marTop w:val="0"/>
      <w:marBottom w:val="0"/>
      <w:divBdr>
        <w:top w:val="none" w:sz="0" w:space="0" w:color="auto"/>
        <w:left w:val="none" w:sz="0" w:space="0" w:color="auto"/>
        <w:bottom w:val="none" w:sz="0" w:space="0" w:color="auto"/>
        <w:right w:val="none" w:sz="0" w:space="0" w:color="auto"/>
      </w:divBdr>
    </w:div>
    <w:div w:id="1101024823">
      <w:bodyDiv w:val="1"/>
      <w:marLeft w:val="0"/>
      <w:marRight w:val="0"/>
      <w:marTop w:val="0"/>
      <w:marBottom w:val="0"/>
      <w:divBdr>
        <w:top w:val="none" w:sz="0" w:space="0" w:color="auto"/>
        <w:left w:val="none" w:sz="0" w:space="0" w:color="auto"/>
        <w:bottom w:val="none" w:sz="0" w:space="0" w:color="auto"/>
        <w:right w:val="none" w:sz="0" w:space="0" w:color="auto"/>
      </w:divBdr>
    </w:div>
    <w:div w:id="1149982443">
      <w:bodyDiv w:val="1"/>
      <w:marLeft w:val="0"/>
      <w:marRight w:val="0"/>
      <w:marTop w:val="0"/>
      <w:marBottom w:val="0"/>
      <w:divBdr>
        <w:top w:val="none" w:sz="0" w:space="0" w:color="auto"/>
        <w:left w:val="none" w:sz="0" w:space="0" w:color="auto"/>
        <w:bottom w:val="none" w:sz="0" w:space="0" w:color="auto"/>
        <w:right w:val="none" w:sz="0" w:space="0" w:color="auto"/>
      </w:divBdr>
    </w:div>
    <w:div w:id="1262027523">
      <w:bodyDiv w:val="1"/>
      <w:marLeft w:val="0"/>
      <w:marRight w:val="0"/>
      <w:marTop w:val="0"/>
      <w:marBottom w:val="0"/>
      <w:divBdr>
        <w:top w:val="none" w:sz="0" w:space="0" w:color="auto"/>
        <w:left w:val="none" w:sz="0" w:space="0" w:color="auto"/>
        <w:bottom w:val="none" w:sz="0" w:space="0" w:color="auto"/>
        <w:right w:val="none" w:sz="0" w:space="0" w:color="auto"/>
      </w:divBdr>
    </w:div>
    <w:div w:id="1328900674">
      <w:bodyDiv w:val="1"/>
      <w:marLeft w:val="0"/>
      <w:marRight w:val="0"/>
      <w:marTop w:val="0"/>
      <w:marBottom w:val="0"/>
      <w:divBdr>
        <w:top w:val="none" w:sz="0" w:space="0" w:color="auto"/>
        <w:left w:val="none" w:sz="0" w:space="0" w:color="auto"/>
        <w:bottom w:val="none" w:sz="0" w:space="0" w:color="auto"/>
        <w:right w:val="none" w:sz="0" w:space="0" w:color="auto"/>
      </w:divBdr>
    </w:div>
    <w:div w:id="1445810223">
      <w:bodyDiv w:val="1"/>
      <w:marLeft w:val="0"/>
      <w:marRight w:val="0"/>
      <w:marTop w:val="0"/>
      <w:marBottom w:val="0"/>
      <w:divBdr>
        <w:top w:val="none" w:sz="0" w:space="0" w:color="auto"/>
        <w:left w:val="none" w:sz="0" w:space="0" w:color="auto"/>
        <w:bottom w:val="none" w:sz="0" w:space="0" w:color="auto"/>
        <w:right w:val="none" w:sz="0" w:space="0" w:color="auto"/>
      </w:divBdr>
      <w:divsChild>
        <w:div w:id="150439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921552">
      <w:bodyDiv w:val="1"/>
      <w:marLeft w:val="0"/>
      <w:marRight w:val="0"/>
      <w:marTop w:val="0"/>
      <w:marBottom w:val="0"/>
      <w:divBdr>
        <w:top w:val="none" w:sz="0" w:space="0" w:color="auto"/>
        <w:left w:val="none" w:sz="0" w:space="0" w:color="auto"/>
        <w:bottom w:val="none" w:sz="0" w:space="0" w:color="auto"/>
        <w:right w:val="none" w:sz="0" w:space="0" w:color="auto"/>
      </w:divBdr>
    </w:div>
    <w:div w:id="1505242265">
      <w:bodyDiv w:val="1"/>
      <w:marLeft w:val="0"/>
      <w:marRight w:val="0"/>
      <w:marTop w:val="0"/>
      <w:marBottom w:val="0"/>
      <w:divBdr>
        <w:top w:val="none" w:sz="0" w:space="0" w:color="auto"/>
        <w:left w:val="none" w:sz="0" w:space="0" w:color="auto"/>
        <w:bottom w:val="none" w:sz="0" w:space="0" w:color="auto"/>
        <w:right w:val="none" w:sz="0" w:space="0" w:color="auto"/>
      </w:divBdr>
    </w:div>
    <w:div w:id="1570924053">
      <w:bodyDiv w:val="1"/>
      <w:marLeft w:val="0"/>
      <w:marRight w:val="0"/>
      <w:marTop w:val="0"/>
      <w:marBottom w:val="0"/>
      <w:divBdr>
        <w:top w:val="none" w:sz="0" w:space="0" w:color="auto"/>
        <w:left w:val="none" w:sz="0" w:space="0" w:color="auto"/>
        <w:bottom w:val="none" w:sz="0" w:space="0" w:color="auto"/>
        <w:right w:val="none" w:sz="0" w:space="0" w:color="auto"/>
      </w:divBdr>
    </w:div>
    <w:div w:id="1701740282">
      <w:bodyDiv w:val="1"/>
      <w:marLeft w:val="0"/>
      <w:marRight w:val="0"/>
      <w:marTop w:val="0"/>
      <w:marBottom w:val="0"/>
      <w:divBdr>
        <w:top w:val="none" w:sz="0" w:space="0" w:color="auto"/>
        <w:left w:val="none" w:sz="0" w:space="0" w:color="auto"/>
        <w:bottom w:val="none" w:sz="0" w:space="0" w:color="auto"/>
        <w:right w:val="none" w:sz="0" w:space="0" w:color="auto"/>
      </w:divBdr>
    </w:div>
    <w:div w:id="1770271302">
      <w:bodyDiv w:val="1"/>
      <w:marLeft w:val="0"/>
      <w:marRight w:val="0"/>
      <w:marTop w:val="0"/>
      <w:marBottom w:val="0"/>
      <w:divBdr>
        <w:top w:val="none" w:sz="0" w:space="0" w:color="auto"/>
        <w:left w:val="none" w:sz="0" w:space="0" w:color="auto"/>
        <w:bottom w:val="none" w:sz="0" w:space="0" w:color="auto"/>
        <w:right w:val="none" w:sz="0" w:space="0" w:color="auto"/>
      </w:divBdr>
    </w:div>
    <w:div w:id="1808545080">
      <w:bodyDiv w:val="1"/>
      <w:marLeft w:val="0"/>
      <w:marRight w:val="0"/>
      <w:marTop w:val="0"/>
      <w:marBottom w:val="0"/>
      <w:divBdr>
        <w:top w:val="none" w:sz="0" w:space="0" w:color="auto"/>
        <w:left w:val="none" w:sz="0" w:space="0" w:color="auto"/>
        <w:bottom w:val="none" w:sz="0" w:space="0" w:color="auto"/>
        <w:right w:val="none" w:sz="0" w:space="0" w:color="auto"/>
      </w:divBdr>
      <w:divsChild>
        <w:div w:id="1366249083">
          <w:marLeft w:val="547"/>
          <w:marRight w:val="0"/>
          <w:marTop w:val="96"/>
          <w:marBottom w:val="0"/>
          <w:divBdr>
            <w:top w:val="none" w:sz="0" w:space="0" w:color="auto"/>
            <w:left w:val="none" w:sz="0" w:space="0" w:color="auto"/>
            <w:bottom w:val="none" w:sz="0" w:space="0" w:color="auto"/>
            <w:right w:val="none" w:sz="0" w:space="0" w:color="auto"/>
          </w:divBdr>
        </w:div>
      </w:divsChild>
    </w:div>
    <w:div w:id="1874924512">
      <w:bodyDiv w:val="1"/>
      <w:marLeft w:val="0"/>
      <w:marRight w:val="0"/>
      <w:marTop w:val="0"/>
      <w:marBottom w:val="0"/>
      <w:divBdr>
        <w:top w:val="none" w:sz="0" w:space="0" w:color="auto"/>
        <w:left w:val="none" w:sz="0" w:space="0" w:color="auto"/>
        <w:bottom w:val="none" w:sz="0" w:space="0" w:color="auto"/>
        <w:right w:val="none" w:sz="0" w:space="0" w:color="auto"/>
      </w:divBdr>
    </w:div>
    <w:div w:id="1960381134">
      <w:bodyDiv w:val="1"/>
      <w:marLeft w:val="0"/>
      <w:marRight w:val="0"/>
      <w:marTop w:val="0"/>
      <w:marBottom w:val="0"/>
      <w:divBdr>
        <w:top w:val="none" w:sz="0" w:space="0" w:color="auto"/>
        <w:left w:val="none" w:sz="0" w:space="0" w:color="auto"/>
        <w:bottom w:val="none" w:sz="0" w:space="0" w:color="auto"/>
        <w:right w:val="none" w:sz="0" w:space="0" w:color="auto"/>
      </w:divBdr>
    </w:div>
    <w:div w:id="1984656445">
      <w:bodyDiv w:val="1"/>
      <w:marLeft w:val="0"/>
      <w:marRight w:val="0"/>
      <w:marTop w:val="0"/>
      <w:marBottom w:val="0"/>
      <w:divBdr>
        <w:top w:val="none" w:sz="0" w:space="0" w:color="auto"/>
        <w:left w:val="none" w:sz="0" w:space="0" w:color="auto"/>
        <w:bottom w:val="none" w:sz="0" w:space="0" w:color="auto"/>
        <w:right w:val="none" w:sz="0" w:space="0" w:color="auto"/>
      </w:divBdr>
    </w:div>
    <w:div w:id="1989476653">
      <w:bodyDiv w:val="1"/>
      <w:marLeft w:val="0"/>
      <w:marRight w:val="0"/>
      <w:marTop w:val="0"/>
      <w:marBottom w:val="0"/>
      <w:divBdr>
        <w:top w:val="none" w:sz="0" w:space="0" w:color="auto"/>
        <w:left w:val="none" w:sz="0" w:space="0" w:color="auto"/>
        <w:bottom w:val="none" w:sz="0" w:space="0" w:color="auto"/>
        <w:right w:val="none" w:sz="0" w:space="0" w:color="auto"/>
      </w:divBdr>
    </w:div>
    <w:div w:id="2012446102">
      <w:bodyDiv w:val="1"/>
      <w:marLeft w:val="0"/>
      <w:marRight w:val="0"/>
      <w:marTop w:val="0"/>
      <w:marBottom w:val="0"/>
      <w:divBdr>
        <w:top w:val="none" w:sz="0" w:space="0" w:color="auto"/>
        <w:left w:val="none" w:sz="0" w:space="0" w:color="auto"/>
        <w:bottom w:val="none" w:sz="0" w:space="0" w:color="auto"/>
        <w:right w:val="none" w:sz="0" w:space="0" w:color="auto"/>
      </w:divBdr>
    </w:div>
    <w:div w:id="20275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oldLord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FD260-EE2D-43D1-9E06-7736EC17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6</Pages>
  <Words>8955</Words>
  <Characters>51045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59881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Arnold, Lord Justice</dc:creator>
  <cp:keywords/>
  <dc:description/>
  <cp:lastModifiedBy>pati-svc</cp:lastModifiedBy>
  <cp:revision>2</cp:revision>
  <dcterms:created xsi:type="dcterms:W3CDTF">2025-10-31T16:00:00Z</dcterms:created>
  <dcterms:modified xsi:type="dcterms:W3CDTF">2025-10-31T16:00:00Z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Judge">
    <vt:lpwstr>LORD JUSTICE PETER JACKSON</vt:lpwstr>
  </property>
  <property fmtid="{D5CDD505-2E9C-101B-9397-08002B2CF9AE}" pid="9" name="NCCaseNum">
    <vt:lpwstr>CA-2025-001926</vt:lpwstr>
  </property>
  <property fmtid="{D5CDD505-2E9C-101B-9397-08002B2CF9AE}" pid="10" name="NCNumber">
    <vt:lpwstr>[2025] EWCA Civ 1383</vt:lpwstr>
  </property>
  <property fmtid="{D5CDD505-2E9C-101B-9397-08002B2CF9AE}" pid="11" name="NCJudgeDate">
    <vt:lpwstr>31/10/2025</vt:lpwstr>
  </property>
</Properties>
</file>