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A1051" w14:textId="5E91FC5A" w:rsidR="00C439A3" w:rsidRDefault="00DA50EA" w:rsidP="00DF56A7">
      <w:pPr>
        <w:jc w:val="center"/>
      </w:pPr>
      <w:bookmarkStart w:id="0" w:name="_GoBack"/>
      <w:bookmarkEnd w:id="0"/>
      <w:r>
        <w:rPr>
          <w:noProof/>
        </w:rPr>
        <w:drawing>
          <wp:inline distT="0" distB="0" distL="0" distR="0" wp14:anchorId="136CE179" wp14:editId="218B03F4">
            <wp:extent cx="97155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a:noFill/>
                    </a:ln>
                  </pic:spPr>
                </pic:pic>
              </a:graphicData>
            </a:graphic>
          </wp:inline>
        </w:drawing>
      </w:r>
    </w:p>
    <w:p w14:paraId="01EBDE42" w14:textId="77777777" w:rsidR="00DF56A7" w:rsidRDefault="00DF56A7">
      <w:pPr>
        <w:jc w:val="right"/>
      </w:pPr>
    </w:p>
    <w:p w14:paraId="76B0B330" w14:textId="4B8352A9" w:rsidR="00C439A3" w:rsidRDefault="00C439A3">
      <w:pPr>
        <w:pStyle w:val="CoverText"/>
        <w:jc w:val="left"/>
        <w:rPr>
          <w:bCs/>
          <w:sz w:val="20"/>
          <w:u w:val="none"/>
        </w:rPr>
      </w:pPr>
      <w:r>
        <w:rPr>
          <w:bCs/>
        </w:rPr>
        <w:t xml:space="preserve">Neutral Citation Number: </w:t>
      </w:r>
      <w:r w:rsidR="000600AC">
        <w:rPr>
          <w:bCs/>
        </w:rPr>
        <w:t>[2025] EWCA Civ 924</w:t>
      </w:r>
      <w:r>
        <w:rPr>
          <w:bCs/>
        </w:rPr>
        <w:br/>
      </w:r>
    </w:p>
    <w:p w14:paraId="73D72861" w14:textId="780620A9" w:rsidR="00C439A3" w:rsidRDefault="00C439A3">
      <w:pPr>
        <w:pStyle w:val="CoverText"/>
        <w:rPr>
          <w:b/>
          <w:spacing w:val="-3"/>
        </w:rPr>
      </w:pPr>
      <w:r>
        <w:t xml:space="preserve">Case No: </w:t>
      </w:r>
      <w:r w:rsidR="00003FB8">
        <w:t>CA-2025-001040-A</w:t>
      </w:r>
    </w:p>
    <w:p w14:paraId="2034F977"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003FB8">
        <w:t>CIVIL</w:t>
      </w:r>
      <w:r>
        <w:t xml:space="preserve"> DIVISION)</w:t>
      </w:r>
    </w:p>
    <w:p w14:paraId="14799F2A" w14:textId="77777777" w:rsidR="00003FB8" w:rsidRPr="00003FB8" w:rsidRDefault="00003FB8" w:rsidP="00003FB8">
      <w:pPr>
        <w:pStyle w:val="CoverMain"/>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003FB8">
        <w:t>ON APPEAL FROM THE HIGH COURT OF JUSTICE, BUSINESS AND PROPERTY COURTS OF ENGLAND AND WALES, INTELLECTUAL PROPERTY LIST (Ch), PATENTS COURT</w:t>
      </w:r>
    </w:p>
    <w:p w14:paraId="5ABE4BEF" w14:textId="77777777" w:rsidR="00DF56A7" w:rsidRDefault="00DF56A7">
      <w:pPr>
        <w:pStyle w:val="CoverText"/>
      </w:pPr>
    </w:p>
    <w:p w14:paraId="7E8B1D13" w14:textId="55092431" w:rsidR="00C439A3" w:rsidRDefault="00C439A3">
      <w:pPr>
        <w:pStyle w:val="CoverText"/>
      </w:pPr>
      <w:r>
        <w:t>Royal Courts of Justice</w:t>
      </w:r>
    </w:p>
    <w:p w14:paraId="39E74BED" w14:textId="77777777" w:rsidR="00C439A3" w:rsidRDefault="00C439A3">
      <w:pPr>
        <w:pStyle w:val="CoverText"/>
      </w:pPr>
      <w:r>
        <w:t>Strand, London, WC2A 2LL</w:t>
      </w:r>
    </w:p>
    <w:p w14:paraId="79589DD5" w14:textId="77777777" w:rsidR="00C439A3" w:rsidRDefault="00C439A3">
      <w:pPr>
        <w:suppressAutoHyphens/>
        <w:jc w:val="right"/>
        <w:rPr>
          <w:spacing w:val="-3"/>
          <w:u w:val="single"/>
        </w:rPr>
      </w:pPr>
    </w:p>
    <w:p w14:paraId="57ABF34E" w14:textId="69306B55" w:rsidR="00C439A3" w:rsidRDefault="00C439A3">
      <w:pPr>
        <w:pStyle w:val="CoverText"/>
        <w:rPr>
          <w:b/>
        </w:rPr>
      </w:pPr>
      <w:r>
        <w:t xml:space="preserve">Date: </w:t>
      </w:r>
      <w:r w:rsidR="000600AC">
        <w:t>21</w:t>
      </w:r>
      <w:r w:rsidR="00CB4006">
        <w:t xml:space="preserve"> July </w:t>
      </w:r>
      <w:r w:rsidR="000600AC">
        <w:t>2025</w:t>
      </w:r>
    </w:p>
    <w:p w14:paraId="7AA1EC25" w14:textId="77777777" w:rsidR="00C439A3" w:rsidRDefault="00C439A3">
      <w:pPr>
        <w:suppressAutoHyphens/>
        <w:jc w:val="center"/>
        <w:rPr>
          <w:b/>
          <w:spacing w:val="-3"/>
        </w:rPr>
      </w:pPr>
      <w:r>
        <w:rPr>
          <w:b/>
          <w:spacing w:val="-3"/>
        </w:rPr>
        <w:t>Before :</w:t>
      </w:r>
    </w:p>
    <w:p w14:paraId="30ED4E77" w14:textId="77777777" w:rsidR="00C439A3" w:rsidRDefault="00C439A3">
      <w:pPr>
        <w:suppressAutoHyphens/>
        <w:jc w:val="center"/>
        <w:rPr>
          <w:spacing w:val="-3"/>
        </w:rPr>
      </w:pPr>
    </w:p>
    <w:p w14:paraId="1AE7EAFF" w14:textId="4C7A7330" w:rsidR="00C439A3" w:rsidRDefault="00003FB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ARNOLD</w:t>
      </w:r>
    </w:p>
    <w:p w14:paraId="4E2F0237" w14:textId="79EC6E12" w:rsidR="00C439A3" w:rsidRDefault="00003FB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STUART-SMITH</w:t>
      </w:r>
      <w:r w:rsidR="00C439A3">
        <w:br/>
      </w:r>
      <w:r w:rsidR="00C439A3">
        <w:rPr>
          <w:b w:val="0"/>
          <w:bCs/>
          <w:u w:val="none"/>
        </w:rPr>
        <w:t>and</w:t>
      </w:r>
    </w:p>
    <w:p w14:paraId="7C74E00D" w14:textId="76232699" w:rsidR="00C439A3" w:rsidRDefault="00003FB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w:t>
      </w:r>
      <w:r w:rsidR="00933E25">
        <w:t>A</w:t>
      </w:r>
      <w:r>
        <w:t>D</w:t>
      </w:r>
      <w:r w:rsidR="00933E25">
        <w:t>Y</w:t>
      </w:r>
      <w:r>
        <w:t xml:space="preserve"> JUSTICE ANDREWS</w:t>
      </w:r>
    </w:p>
    <w:p w14:paraId="2AC45E64" w14:textId="77777777" w:rsidR="00C439A3" w:rsidRDefault="00C439A3">
      <w:pPr>
        <w:suppressAutoHyphens/>
        <w:jc w:val="center"/>
        <w:rPr>
          <w:spacing w:val="-3"/>
        </w:rPr>
      </w:pPr>
      <w:r>
        <w:rPr>
          <w:spacing w:val="-3"/>
        </w:rPr>
        <w:t>- - - - - - - - - - - - - - - - - - - - -</w:t>
      </w:r>
    </w:p>
    <w:p w14:paraId="4A65EBFB" w14:textId="77777777" w:rsidR="00C439A3" w:rsidRDefault="00C439A3">
      <w:pPr>
        <w:suppressAutoHyphens/>
        <w:jc w:val="center"/>
        <w:rPr>
          <w:b/>
          <w:spacing w:val="-3"/>
        </w:rPr>
      </w:pPr>
      <w:r>
        <w:rPr>
          <w:b/>
          <w:spacing w:val="-3"/>
        </w:rPr>
        <w:t>Between :</w:t>
      </w:r>
    </w:p>
    <w:p w14:paraId="64DD6B36" w14:textId="77777777" w:rsidR="00C439A3" w:rsidRDefault="00C439A3">
      <w:pPr>
        <w:suppressAutoHyphens/>
        <w:jc w:val="center"/>
        <w:rPr>
          <w:b/>
          <w:spacing w:val="-3"/>
        </w:rPr>
      </w:pPr>
    </w:p>
    <w:tbl>
      <w:tblPr>
        <w:tblW w:w="0" w:type="auto"/>
        <w:tblInd w:w="144" w:type="dxa"/>
        <w:tblLayout w:type="fixed"/>
        <w:tblLook w:val="0000" w:firstRow="0" w:lastRow="0" w:firstColumn="0" w:lastColumn="0" w:noHBand="0" w:noVBand="0"/>
      </w:tblPr>
      <w:tblGrid>
        <w:gridCol w:w="1314"/>
        <w:gridCol w:w="6210"/>
        <w:gridCol w:w="1512"/>
      </w:tblGrid>
      <w:tr w:rsidR="00C4221A" w14:paraId="285B18DD" w14:textId="77777777" w:rsidTr="00197393">
        <w:tc>
          <w:tcPr>
            <w:tcW w:w="1314" w:type="dxa"/>
          </w:tcPr>
          <w:p w14:paraId="6D7D028C" w14:textId="77777777" w:rsidR="00C4221A" w:rsidRDefault="00C4221A" w:rsidP="00C4221A">
            <w:pPr>
              <w:suppressAutoHyphens/>
              <w:rPr>
                <w:b/>
                <w:spacing w:val="-3"/>
              </w:rPr>
            </w:pPr>
          </w:p>
        </w:tc>
        <w:tc>
          <w:tcPr>
            <w:tcW w:w="6210" w:type="dxa"/>
          </w:tcPr>
          <w:p w14:paraId="33065DF9" w14:textId="77777777" w:rsidR="00C4221A" w:rsidRDefault="007D6061" w:rsidP="00AA6CB3">
            <w:pPr>
              <w:numPr>
                <w:ilvl w:val="0"/>
                <w:numId w:val="13"/>
              </w:numPr>
              <w:suppressAutoHyphens/>
              <w:jc w:val="center"/>
              <w:rPr>
                <w:b/>
                <w:spacing w:val="-3"/>
              </w:rPr>
            </w:pPr>
            <w:r>
              <w:rPr>
                <w:b/>
                <w:spacing w:val="-3"/>
              </w:rPr>
              <w:t>ASTRAZENECA AB</w:t>
            </w:r>
          </w:p>
          <w:p w14:paraId="6FD7B762" w14:textId="5F8E2EBB" w:rsidR="00AA6CB3" w:rsidRDefault="00AA6CB3" w:rsidP="00AA6CB3">
            <w:pPr>
              <w:numPr>
                <w:ilvl w:val="0"/>
                <w:numId w:val="13"/>
              </w:numPr>
              <w:suppressAutoHyphens/>
              <w:jc w:val="center"/>
              <w:rPr>
                <w:b/>
                <w:spacing w:val="-3"/>
              </w:rPr>
            </w:pPr>
            <w:r>
              <w:rPr>
                <w:b/>
                <w:spacing w:val="-3"/>
              </w:rPr>
              <w:t>ASTRAZENECA UK LIMITED</w:t>
            </w:r>
          </w:p>
        </w:tc>
        <w:tc>
          <w:tcPr>
            <w:tcW w:w="1512" w:type="dxa"/>
          </w:tcPr>
          <w:p w14:paraId="41A314A0" w14:textId="6CA39C84" w:rsidR="00C4221A" w:rsidRDefault="007D6061" w:rsidP="00C422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Applicant</w:t>
            </w:r>
            <w:r w:rsidR="00AA6CB3">
              <w:t>s</w:t>
            </w:r>
            <w:r w:rsidR="00C4221A">
              <w:t xml:space="preserve"> </w:t>
            </w:r>
          </w:p>
        </w:tc>
      </w:tr>
      <w:tr w:rsidR="00C4221A" w14:paraId="2B4158C8" w14:textId="77777777" w:rsidTr="00197393">
        <w:tc>
          <w:tcPr>
            <w:tcW w:w="1314" w:type="dxa"/>
          </w:tcPr>
          <w:p w14:paraId="49D5AEDA" w14:textId="77777777" w:rsidR="00C4221A" w:rsidRDefault="00C4221A" w:rsidP="00C4221A">
            <w:pPr>
              <w:suppressAutoHyphens/>
              <w:rPr>
                <w:b/>
                <w:spacing w:val="-3"/>
              </w:rPr>
            </w:pPr>
          </w:p>
        </w:tc>
        <w:tc>
          <w:tcPr>
            <w:tcW w:w="6210" w:type="dxa"/>
          </w:tcPr>
          <w:p w14:paraId="25A1AF7F" w14:textId="77777777" w:rsidR="00C4221A" w:rsidRDefault="00C4221A" w:rsidP="00C4221A">
            <w:pPr>
              <w:suppressAutoHyphens/>
              <w:ind w:left="720" w:hanging="360"/>
              <w:jc w:val="center"/>
              <w:rPr>
                <w:b/>
                <w:spacing w:val="-3"/>
              </w:rPr>
            </w:pPr>
            <w:r>
              <w:rPr>
                <w:b/>
                <w:spacing w:val="-3"/>
              </w:rPr>
              <w:t>- and -</w:t>
            </w:r>
          </w:p>
        </w:tc>
        <w:tc>
          <w:tcPr>
            <w:tcW w:w="1512" w:type="dxa"/>
          </w:tcPr>
          <w:p w14:paraId="46D66DDC" w14:textId="77777777" w:rsidR="00C4221A" w:rsidRDefault="00C4221A" w:rsidP="00C422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r w:rsidR="00C439A3" w14:paraId="5CE78905" w14:textId="77777777" w:rsidTr="00197393">
        <w:tc>
          <w:tcPr>
            <w:tcW w:w="1314" w:type="dxa"/>
          </w:tcPr>
          <w:p w14:paraId="7ABEF140" w14:textId="77777777" w:rsidR="00C439A3" w:rsidRDefault="00C439A3">
            <w:pPr>
              <w:suppressAutoHyphens/>
              <w:rPr>
                <w:b/>
                <w:spacing w:val="-3"/>
              </w:rPr>
            </w:pPr>
          </w:p>
        </w:tc>
        <w:tc>
          <w:tcPr>
            <w:tcW w:w="6210" w:type="dxa"/>
          </w:tcPr>
          <w:p w14:paraId="7C188DF8" w14:textId="77777777" w:rsidR="00003FB8" w:rsidRDefault="00003FB8" w:rsidP="00003FB8">
            <w:pPr>
              <w:numPr>
                <w:ilvl w:val="0"/>
                <w:numId w:val="11"/>
              </w:numPr>
              <w:suppressAutoHyphens/>
              <w:jc w:val="center"/>
              <w:rPr>
                <w:b/>
                <w:spacing w:val="-3"/>
              </w:rPr>
            </w:pPr>
            <w:r>
              <w:rPr>
                <w:b/>
                <w:spacing w:val="-3"/>
              </w:rPr>
              <w:t>GENERICS (U.K.) LIMITED</w:t>
            </w:r>
          </w:p>
          <w:p w14:paraId="4F22F4C9" w14:textId="77777777" w:rsidR="00003FB8" w:rsidRDefault="00003FB8" w:rsidP="00003FB8">
            <w:pPr>
              <w:numPr>
                <w:ilvl w:val="0"/>
                <w:numId w:val="11"/>
              </w:numPr>
              <w:suppressAutoHyphens/>
              <w:jc w:val="center"/>
              <w:rPr>
                <w:b/>
                <w:spacing w:val="-3"/>
              </w:rPr>
            </w:pPr>
            <w:r>
              <w:rPr>
                <w:b/>
                <w:spacing w:val="-3"/>
              </w:rPr>
              <w:t>TEVA PHARMACEUTICAL INDUSTRIES LIMITED AND TEVA UK LIMITED</w:t>
            </w:r>
          </w:p>
          <w:p w14:paraId="40E0E339" w14:textId="77777777" w:rsidR="00C4221A" w:rsidRDefault="00003FB8" w:rsidP="00C4221A">
            <w:pPr>
              <w:numPr>
                <w:ilvl w:val="0"/>
                <w:numId w:val="11"/>
              </w:numPr>
              <w:suppressAutoHyphens/>
              <w:jc w:val="center"/>
              <w:rPr>
                <w:b/>
                <w:spacing w:val="-3"/>
              </w:rPr>
            </w:pPr>
            <w:r w:rsidRPr="00003FB8">
              <w:rPr>
                <w:b/>
                <w:spacing w:val="-3"/>
              </w:rPr>
              <w:t>GLENMARK PHARMACEUTICALS EUROPE LIMITED</w:t>
            </w:r>
          </w:p>
          <w:p w14:paraId="2CD2377E" w14:textId="77777777" w:rsidR="00C4221A" w:rsidRDefault="00C4221A" w:rsidP="00C4221A">
            <w:pPr>
              <w:numPr>
                <w:ilvl w:val="0"/>
                <w:numId w:val="11"/>
              </w:numPr>
              <w:suppressAutoHyphens/>
              <w:jc w:val="center"/>
              <w:rPr>
                <w:b/>
                <w:spacing w:val="-3"/>
              </w:rPr>
            </w:pPr>
            <w:r>
              <w:rPr>
                <w:b/>
                <w:spacing w:val="-3"/>
              </w:rPr>
              <w:t>SANDOZ LIMITED</w:t>
            </w:r>
          </w:p>
          <w:p w14:paraId="71341087" w14:textId="77777777" w:rsidR="00C439A3" w:rsidRDefault="00C4221A" w:rsidP="00003FB8">
            <w:pPr>
              <w:numPr>
                <w:ilvl w:val="0"/>
                <w:numId w:val="11"/>
              </w:numPr>
              <w:suppressAutoHyphens/>
              <w:jc w:val="center"/>
              <w:rPr>
                <w:b/>
                <w:spacing w:val="-3"/>
              </w:rPr>
            </w:pPr>
            <w:r w:rsidRPr="006F644A">
              <w:rPr>
                <w:b/>
                <w:spacing w:val="-3"/>
              </w:rPr>
              <w:t>BESTWAY PHARMACY NDC LIMITED</w:t>
            </w:r>
          </w:p>
          <w:p w14:paraId="0A3A14A5" w14:textId="1A1CE085" w:rsidR="00DA50EA" w:rsidRDefault="00DA50EA" w:rsidP="00DA50EA">
            <w:pPr>
              <w:suppressAutoHyphens/>
              <w:rPr>
                <w:b/>
                <w:spacing w:val="-3"/>
              </w:rPr>
            </w:pPr>
            <w:r>
              <w:rPr>
                <w:b/>
                <w:spacing w:val="-3"/>
              </w:rPr>
              <w:t xml:space="preserve">                                               </w:t>
            </w:r>
            <w:r w:rsidRPr="00DA50EA">
              <w:rPr>
                <w:b/>
                <w:spacing w:val="-3"/>
              </w:rPr>
              <w:t>-</w:t>
            </w:r>
            <w:r>
              <w:rPr>
                <w:b/>
                <w:spacing w:val="-3"/>
              </w:rPr>
              <w:t xml:space="preserve"> and - </w:t>
            </w:r>
          </w:p>
        </w:tc>
        <w:tc>
          <w:tcPr>
            <w:tcW w:w="1512" w:type="dxa"/>
          </w:tcPr>
          <w:p w14:paraId="40418C69" w14:textId="77777777" w:rsidR="00C439A3" w:rsidRDefault="00003FB8" w:rsidP="00003FB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003FB8">
              <w:t>Respondent</w:t>
            </w:r>
            <w:r w:rsidR="00A8034C">
              <w:t>s</w:t>
            </w:r>
          </w:p>
          <w:p w14:paraId="7136C319" w14:textId="129F6405" w:rsidR="00DA50EA" w:rsidRDefault="00DA50EA" w:rsidP="00003FB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r w:rsidR="00C439A3" w14:paraId="5DE11763" w14:textId="77777777" w:rsidTr="00DA50EA">
        <w:trPr>
          <w:trHeight w:val="80"/>
        </w:trPr>
        <w:tc>
          <w:tcPr>
            <w:tcW w:w="1314" w:type="dxa"/>
          </w:tcPr>
          <w:p w14:paraId="3980773C" w14:textId="77777777" w:rsidR="00C439A3" w:rsidRDefault="00C439A3">
            <w:pPr>
              <w:suppressAutoHyphens/>
              <w:rPr>
                <w:b/>
                <w:spacing w:val="-3"/>
              </w:rPr>
            </w:pPr>
          </w:p>
        </w:tc>
        <w:tc>
          <w:tcPr>
            <w:tcW w:w="6210" w:type="dxa"/>
          </w:tcPr>
          <w:p w14:paraId="106AFA4A" w14:textId="16D6A21E" w:rsidR="00C439A3" w:rsidRDefault="00DA50EA" w:rsidP="00DA50EA">
            <w:pPr>
              <w:tabs>
                <w:tab w:val="center" w:pos="3312"/>
              </w:tabs>
              <w:suppressAutoHyphens/>
              <w:jc w:val="center"/>
              <w:rPr>
                <w:b/>
                <w:spacing w:val="-3"/>
              </w:rPr>
            </w:pPr>
            <w:r>
              <w:rPr>
                <w:b/>
                <w:spacing w:val="-3"/>
              </w:rPr>
              <w:t>SECRETARY OF STATE FOR HEALTH AND SOCIAL                                      CARE</w:t>
            </w:r>
          </w:p>
        </w:tc>
        <w:tc>
          <w:tcPr>
            <w:tcW w:w="1512" w:type="dxa"/>
          </w:tcPr>
          <w:p w14:paraId="731092EA" w14:textId="6A66C127" w:rsidR="00C439A3" w:rsidRPr="00DA50EA" w:rsidRDefault="00DA50EA">
            <w:pPr>
              <w:suppressAutoHyphens/>
              <w:jc w:val="right"/>
              <w:rPr>
                <w:b/>
                <w:spacing w:val="-3"/>
                <w:u w:val="single"/>
              </w:rPr>
            </w:pPr>
            <w:r w:rsidRPr="00DA50EA">
              <w:rPr>
                <w:b/>
                <w:spacing w:val="-3"/>
                <w:u w:val="single"/>
              </w:rPr>
              <w:t>Intervenor</w:t>
            </w:r>
          </w:p>
        </w:tc>
      </w:tr>
      <w:tr w:rsidR="00C4221A" w14:paraId="6A85AA32" w14:textId="77777777" w:rsidTr="00DA50EA">
        <w:trPr>
          <w:trHeight w:val="80"/>
        </w:trPr>
        <w:tc>
          <w:tcPr>
            <w:tcW w:w="1314" w:type="dxa"/>
          </w:tcPr>
          <w:p w14:paraId="5FF9EE6B" w14:textId="77777777" w:rsidR="00C4221A" w:rsidRDefault="00C4221A" w:rsidP="00C4221A">
            <w:pPr>
              <w:suppressAutoHyphens/>
              <w:rPr>
                <w:b/>
                <w:spacing w:val="-3"/>
              </w:rPr>
            </w:pPr>
          </w:p>
        </w:tc>
        <w:tc>
          <w:tcPr>
            <w:tcW w:w="6210" w:type="dxa"/>
          </w:tcPr>
          <w:p w14:paraId="123C5C89" w14:textId="030CE125" w:rsidR="00C4221A" w:rsidRDefault="00C4221A" w:rsidP="00C4221A">
            <w:pPr>
              <w:tabs>
                <w:tab w:val="center" w:pos="3312"/>
              </w:tabs>
              <w:suppressAutoHyphens/>
              <w:jc w:val="center"/>
              <w:rPr>
                <w:b/>
                <w:spacing w:val="-3"/>
              </w:rPr>
            </w:pPr>
          </w:p>
        </w:tc>
        <w:tc>
          <w:tcPr>
            <w:tcW w:w="1512" w:type="dxa"/>
          </w:tcPr>
          <w:p w14:paraId="30B6A932" w14:textId="77777777" w:rsidR="00C4221A" w:rsidRDefault="00C4221A" w:rsidP="00C422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r w:rsidR="00C4221A" w14:paraId="0C9FE694" w14:textId="77777777" w:rsidTr="00197393">
        <w:tc>
          <w:tcPr>
            <w:tcW w:w="1314" w:type="dxa"/>
          </w:tcPr>
          <w:p w14:paraId="24DF217F" w14:textId="77777777" w:rsidR="00C4221A" w:rsidRDefault="00C4221A" w:rsidP="00C4221A">
            <w:pPr>
              <w:suppressAutoHyphens/>
              <w:rPr>
                <w:b/>
                <w:spacing w:val="-3"/>
              </w:rPr>
            </w:pPr>
          </w:p>
        </w:tc>
        <w:tc>
          <w:tcPr>
            <w:tcW w:w="6210" w:type="dxa"/>
          </w:tcPr>
          <w:p w14:paraId="1F7BD9E6" w14:textId="6C7D7533" w:rsidR="00C4221A" w:rsidRDefault="00C4221A" w:rsidP="00C4221A">
            <w:pPr>
              <w:tabs>
                <w:tab w:val="center" w:pos="3312"/>
              </w:tabs>
              <w:suppressAutoHyphens/>
              <w:jc w:val="center"/>
              <w:rPr>
                <w:b/>
                <w:spacing w:val="-3"/>
              </w:rPr>
            </w:pPr>
          </w:p>
        </w:tc>
        <w:tc>
          <w:tcPr>
            <w:tcW w:w="1512" w:type="dxa"/>
          </w:tcPr>
          <w:p w14:paraId="6D631169" w14:textId="2025FD91" w:rsidR="00C4221A" w:rsidRDefault="00C4221A" w:rsidP="00C422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bl>
    <w:p w14:paraId="62D648A4" w14:textId="77777777" w:rsidR="00C439A3" w:rsidRDefault="00C439A3" w:rsidP="00DA50EA">
      <w:pPr>
        <w:suppressAutoHyphens/>
        <w:jc w:val="center"/>
        <w:rPr>
          <w:spacing w:val="-3"/>
        </w:rPr>
      </w:pPr>
      <w:r>
        <w:rPr>
          <w:spacing w:val="-3"/>
        </w:rPr>
        <w:t>- - - - - - - - - - - - - - - - - - - - -</w:t>
      </w:r>
    </w:p>
    <w:p w14:paraId="51AD9FC2" w14:textId="77777777" w:rsidR="00C439A3" w:rsidRDefault="00C439A3">
      <w:pPr>
        <w:suppressAutoHyphens/>
        <w:jc w:val="center"/>
        <w:rPr>
          <w:spacing w:val="-3"/>
        </w:rPr>
      </w:pPr>
      <w:r>
        <w:rPr>
          <w:spacing w:val="-3"/>
        </w:rPr>
        <w:t>- - - - - - - - - - - - - - - - - - - - -</w:t>
      </w:r>
    </w:p>
    <w:p w14:paraId="0CD6A9B3" w14:textId="77777777" w:rsidR="00C439A3" w:rsidRDefault="00C439A3">
      <w:pPr>
        <w:suppressAutoHyphens/>
        <w:jc w:val="center"/>
        <w:rPr>
          <w:spacing w:val="-3"/>
        </w:rPr>
      </w:pPr>
    </w:p>
    <w:p w14:paraId="4C61EE9B" w14:textId="07AE936E" w:rsidR="00824AE7" w:rsidRPr="00824AE7" w:rsidRDefault="003D58D8" w:rsidP="00824AE7">
      <w:pPr>
        <w:suppressAutoHyphens/>
        <w:jc w:val="center"/>
        <w:rPr>
          <w:bCs/>
          <w:spacing w:val="-3"/>
        </w:rPr>
      </w:pPr>
      <w:r>
        <w:rPr>
          <w:b/>
          <w:spacing w:val="-3"/>
        </w:rPr>
        <w:t xml:space="preserve">Geoffrey Pritchard </w:t>
      </w:r>
      <w:r w:rsidR="00824AE7" w:rsidRPr="00824AE7">
        <w:rPr>
          <w:b/>
          <w:spacing w:val="-3"/>
        </w:rPr>
        <w:t>KC, Thomas Lunt and Dheemanth Vangimalla</w:t>
      </w:r>
      <w:r w:rsidR="00824AE7" w:rsidRPr="00824AE7">
        <w:rPr>
          <w:bCs/>
          <w:spacing w:val="-3"/>
        </w:rPr>
        <w:t xml:space="preserve"> (instructed by </w:t>
      </w:r>
      <w:r w:rsidR="00824AE7" w:rsidRPr="00824AE7">
        <w:rPr>
          <w:b/>
          <w:spacing w:val="-3"/>
        </w:rPr>
        <w:t>Freshfields LLP</w:t>
      </w:r>
      <w:r w:rsidR="00824AE7" w:rsidRPr="00824AE7">
        <w:rPr>
          <w:bCs/>
          <w:spacing w:val="-3"/>
        </w:rPr>
        <w:t xml:space="preserve">) for the </w:t>
      </w:r>
      <w:r w:rsidR="00824AE7" w:rsidRPr="00824AE7">
        <w:rPr>
          <w:b/>
          <w:spacing w:val="-3"/>
        </w:rPr>
        <w:t>Appl</w:t>
      </w:r>
      <w:r w:rsidR="004A6B13">
        <w:rPr>
          <w:b/>
          <w:spacing w:val="-3"/>
        </w:rPr>
        <w:t>ic</w:t>
      </w:r>
      <w:r w:rsidR="00824AE7" w:rsidRPr="00824AE7">
        <w:rPr>
          <w:b/>
          <w:spacing w:val="-3"/>
        </w:rPr>
        <w:t>ant</w:t>
      </w:r>
      <w:r w:rsidR="00761202">
        <w:rPr>
          <w:b/>
          <w:spacing w:val="-3"/>
        </w:rPr>
        <w:t>s</w:t>
      </w:r>
    </w:p>
    <w:p w14:paraId="640B9F80" w14:textId="0B3C0B65" w:rsidR="00824AE7" w:rsidRPr="00824AE7" w:rsidRDefault="00480455" w:rsidP="00824AE7">
      <w:pPr>
        <w:suppressAutoHyphens/>
        <w:jc w:val="center"/>
        <w:rPr>
          <w:b/>
          <w:spacing w:val="-3"/>
        </w:rPr>
      </w:pPr>
      <w:r>
        <w:rPr>
          <w:b/>
          <w:spacing w:val="-3"/>
        </w:rPr>
        <w:t xml:space="preserve">Mark Vanhegan </w:t>
      </w:r>
      <w:r w:rsidR="00824AE7" w:rsidRPr="00824AE7">
        <w:rPr>
          <w:b/>
          <w:spacing w:val="-3"/>
        </w:rPr>
        <w:t xml:space="preserve">KC and Adam Gamsa </w:t>
      </w:r>
      <w:r w:rsidR="00824AE7" w:rsidRPr="00824AE7">
        <w:rPr>
          <w:bCs/>
          <w:spacing w:val="-3"/>
        </w:rPr>
        <w:t>(instructed by</w:t>
      </w:r>
      <w:r w:rsidR="00824AE7" w:rsidRPr="00824AE7">
        <w:rPr>
          <w:b/>
          <w:spacing w:val="-3"/>
        </w:rPr>
        <w:t xml:space="preserve"> Taylor Wessing LLP</w:t>
      </w:r>
      <w:r w:rsidR="00824AE7" w:rsidRPr="00824AE7">
        <w:rPr>
          <w:bCs/>
          <w:spacing w:val="-3"/>
        </w:rPr>
        <w:t xml:space="preserve">) for </w:t>
      </w:r>
      <w:r w:rsidR="00824AE7" w:rsidRPr="00824AE7">
        <w:rPr>
          <w:b/>
          <w:spacing w:val="-3"/>
        </w:rPr>
        <w:t>Viatris</w:t>
      </w:r>
    </w:p>
    <w:p w14:paraId="2CF2E09F" w14:textId="05F0EF75" w:rsidR="00824AE7" w:rsidRPr="00824AE7" w:rsidRDefault="00480455" w:rsidP="00824AE7">
      <w:pPr>
        <w:suppressAutoHyphens/>
        <w:jc w:val="center"/>
        <w:rPr>
          <w:b/>
          <w:spacing w:val="-3"/>
        </w:rPr>
      </w:pPr>
      <w:r>
        <w:rPr>
          <w:b/>
          <w:bCs/>
          <w:spacing w:val="-3"/>
        </w:rPr>
        <w:t xml:space="preserve">Anna Edwards-Stuart </w:t>
      </w:r>
      <w:r w:rsidR="00824AE7" w:rsidRPr="00824AE7">
        <w:rPr>
          <w:b/>
          <w:bCs/>
          <w:spacing w:val="-3"/>
        </w:rPr>
        <w:t xml:space="preserve">KC and Tim Austen </w:t>
      </w:r>
      <w:r w:rsidR="00824AE7" w:rsidRPr="00824AE7">
        <w:rPr>
          <w:bCs/>
          <w:spacing w:val="-3"/>
        </w:rPr>
        <w:t>(instructed by</w:t>
      </w:r>
      <w:r w:rsidR="00824AE7" w:rsidRPr="00824AE7">
        <w:rPr>
          <w:b/>
          <w:bCs/>
          <w:spacing w:val="-3"/>
        </w:rPr>
        <w:t xml:space="preserve"> Pinsent Masons LLP</w:t>
      </w:r>
      <w:r w:rsidR="00824AE7" w:rsidRPr="00824AE7">
        <w:rPr>
          <w:bCs/>
          <w:spacing w:val="-3"/>
        </w:rPr>
        <w:t xml:space="preserve">) for </w:t>
      </w:r>
      <w:r w:rsidR="00824AE7" w:rsidRPr="00824AE7">
        <w:rPr>
          <w:b/>
          <w:spacing w:val="-3"/>
        </w:rPr>
        <w:t>Teva</w:t>
      </w:r>
    </w:p>
    <w:p w14:paraId="7C9FF58C" w14:textId="086EA497" w:rsidR="00824AE7" w:rsidRDefault="00217E2E" w:rsidP="00824AE7">
      <w:pPr>
        <w:suppressAutoHyphens/>
        <w:jc w:val="center"/>
        <w:rPr>
          <w:b/>
          <w:spacing w:val="-3"/>
        </w:rPr>
      </w:pPr>
      <w:r>
        <w:rPr>
          <w:b/>
          <w:spacing w:val="-3"/>
        </w:rPr>
        <w:t>James Abrahams</w:t>
      </w:r>
      <w:r w:rsidR="00824AE7" w:rsidRPr="00824AE7">
        <w:rPr>
          <w:b/>
          <w:spacing w:val="-3"/>
        </w:rPr>
        <w:t xml:space="preserve"> KC</w:t>
      </w:r>
      <w:r w:rsidR="00824AE7" w:rsidRPr="00824AE7">
        <w:rPr>
          <w:bCs/>
          <w:spacing w:val="-3"/>
        </w:rPr>
        <w:t xml:space="preserve"> (instructed by</w:t>
      </w:r>
      <w:r w:rsidR="00824AE7" w:rsidRPr="00824AE7">
        <w:rPr>
          <w:b/>
          <w:spacing w:val="-3"/>
        </w:rPr>
        <w:t xml:space="preserve"> Powell Gilbert LLP</w:t>
      </w:r>
      <w:r w:rsidR="00824AE7" w:rsidRPr="00824AE7">
        <w:rPr>
          <w:b/>
          <w:bCs/>
          <w:spacing w:val="-3"/>
        </w:rPr>
        <w:t xml:space="preserve">) </w:t>
      </w:r>
      <w:r w:rsidR="00824AE7" w:rsidRPr="00824AE7">
        <w:rPr>
          <w:spacing w:val="-3"/>
        </w:rPr>
        <w:t xml:space="preserve">for </w:t>
      </w:r>
      <w:r w:rsidR="00824AE7" w:rsidRPr="00824AE7">
        <w:rPr>
          <w:b/>
          <w:spacing w:val="-3"/>
        </w:rPr>
        <w:t>Glenmark</w:t>
      </w:r>
    </w:p>
    <w:p w14:paraId="7942E46D" w14:textId="2279D1EE" w:rsidR="00E00988" w:rsidRDefault="00E00988" w:rsidP="00E00988">
      <w:pPr>
        <w:suppressAutoHyphens/>
        <w:jc w:val="center"/>
        <w:rPr>
          <w:b/>
          <w:bCs/>
          <w:spacing w:val="-3"/>
        </w:rPr>
      </w:pPr>
      <w:r>
        <w:rPr>
          <w:b/>
          <w:bCs/>
          <w:spacing w:val="-3"/>
        </w:rPr>
        <w:t xml:space="preserve">Jeff Chapman </w:t>
      </w:r>
      <w:r w:rsidRPr="00E00988">
        <w:rPr>
          <w:b/>
          <w:bCs/>
          <w:spacing w:val="-3"/>
        </w:rPr>
        <w:t xml:space="preserve">KC and </w:t>
      </w:r>
      <w:r>
        <w:rPr>
          <w:b/>
          <w:bCs/>
          <w:spacing w:val="-3"/>
        </w:rPr>
        <w:t>Simon Paul</w:t>
      </w:r>
      <w:r w:rsidRPr="00E00988">
        <w:rPr>
          <w:b/>
          <w:bCs/>
          <w:spacing w:val="-3"/>
        </w:rPr>
        <w:t xml:space="preserve"> </w:t>
      </w:r>
      <w:r w:rsidRPr="00E00988">
        <w:rPr>
          <w:spacing w:val="-3"/>
        </w:rPr>
        <w:t>(instructed by</w:t>
      </w:r>
      <w:r w:rsidRPr="00E00988">
        <w:rPr>
          <w:b/>
          <w:bCs/>
          <w:spacing w:val="-3"/>
        </w:rPr>
        <w:t xml:space="preserve"> Pinsent Masons LLP</w:t>
      </w:r>
      <w:r w:rsidRPr="00E00988">
        <w:rPr>
          <w:spacing w:val="-3"/>
        </w:rPr>
        <w:t>) for</w:t>
      </w:r>
      <w:r w:rsidRPr="00E00988">
        <w:rPr>
          <w:b/>
          <w:bCs/>
          <w:spacing w:val="-3"/>
        </w:rPr>
        <w:t xml:space="preserve"> </w:t>
      </w:r>
      <w:r w:rsidR="004B3F3F">
        <w:rPr>
          <w:b/>
          <w:bCs/>
          <w:spacing w:val="-3"/>
        </w:rPr>
        <w:t>Sandoz</w:t>
      </w:r>
      <w:r w:rsidR="004B0B64">
        <w:rPr>
          <w:b/>
          <w:bCs/>
          <w:spacing w:val="-3"/>
        </w:rPr>
        <w:t xml:space="preserve"> and Bestway</w:t>
      </w:r>
    </w:p>
    <w:p w14:paraId="1C703B1C" w14:textId="7198F9A2" w:rsidR="004B3F3F" w:rsidRPr="00E00988" w:rsidRDefault="004B3F3F" w:rsidP="00E00988">
      <w:pPr>
        <w:suppressAutoHyphens/>
        <w:jc w:val="center"/>
        <w:rPr>
          <w:b/>
          <w:bCs/>
          <w:spacing w:val="-3"/>
        </w:rPr>
      </w:pPr>
      <w:r>
        <w:rPr>
          <w:b/>
          <w:bCs/>
          <w:spacing w:val="-3"/>
        </w:rPr>
        <w:lastRenderedPageBreak/>
        <w:t xml:space="preserve">Jonathan Moss </w:t>
      </w:r>
      <w:r w:rsidRPr="004B0B64">
        <w:rPr>
          <w:spacing w:val="-3"/>
        </w:rPr>
        <w:t>(instructed by the</w:t>
      </w:r>
      <w:r>
        <w:rPr>
          <w:b/>
          <w:bCs/>
          <w:spacing w:val="-3"/>
        </w:rPr>
        <w:t xml:space="preserve"> Government Legal Department</w:t>
      </w:r>
      <w:r w:rsidRPr="004B0B64">
        <w:rPr>
          <w:spacing w:val="-3"/>
        </w:rPr>
        <w:t>) for the</w:t>
      </w:r>
      <w:r>
        <w:rPr>
          <w:b/>
          <w:bCs/>
          <w:spacing w:val="-3"/>
        </w:rPr>
        <w:t xml:space="preserve"> </w:t>
      </w:r>
      <w:r w:rsidR="004B0B64">
        <w:rPr>
          <w:b/>
          <w:bCs/>
          <w:spacing w:val="-3"/>
        </w:rPr>
        <w:t>Secretary</w:t>
      </w:r>
      <w:r>
        <w:rPr>
          <w:b/>
          <w:bCs/>
          <w:spacing w:val="-3"/>
        </w:rPr>
        <w:t xml:space="preserve"> of State for </w:t>
      </w:r>
      <w:r w:rsidR="00D034DE">
        <w:rPr>
          <w:b/>
          <w:bCs/>
          <w:spacing w:val="-3"/>
        </w:rPr>
        <w:t>Health and Social Care</w:t>
      </w:r>
    </w:p>
    <w:p w14:paraId="455124EA" w14:textId="77777777" w:rsidR="00E00988" w:rsidRPr="00824AE7" w:rsidRDefault="00E00988" w:rsidP="00824AE7">
      <w:pPr>
        <w:suppressAutoHyphens/>
        <w:jc w:val="center"/>
        <w:rPr>
          <w:b/>
          <w:bCs/>
          <w:spacing w:val="-3"/>
        </w:rPr>
      </w:pPr>
    </w:p>
    <w:p w14:paraId="4655A0F9" w14:textId="77777777" w:rsidR="00824AE7" w:rsidRDefault="00824AE7">
      <w:pPr>
        <w:suppressAutoHyphens/>
        <w:jc w:val="center"/>
        <w:rPr>
          <w:spacing w:val="-3"/>
        </w:rPr>
      </w:pPr>
    </w:p>
    <w:p w14:paraId="23BD70FA" w14:textId="77777777" w:rsidR="00C439A3" w:rsidRDefault="00C439A3">
      <w:pPr>
        <w:suppressAutoHyphens/>
        <w:jc w:val="center"/>
        <w:rPr>
          <w:b/>
          <w:spacing w:val="-3"/>
        </w:rPr>
      </w:pPr>
    </w:p>
    <w:p w14:paraId="35A3EE3A" w14:textId="679E099C" w:rsidR="00C439A3" w:rsidRDefault="00C439A3">
      <w:pPr>
        <w:suppressAutoHyphens/>
        <w:jc w:val="center"/>
        <w:rPr>
          <w:spacing w:val="-3"/>
        </w:rPr>
      </w:pPr>
      <w:r>
        <w:rPr>
          <w:spacing w:val="-3"/>
        </w:rPr>
        <w:t xml:space="preserve">Hearing date : </w:t>
      </w:r>
      <w:r w:rsidR="00003FB8">
        <w:rPr>
          <w:spacing w:val="-3"/>
        </w:rPr>
        <w:t>16 July 2025</w:t>
      </w:r>
    </w:p>
    <w:p w14:paraId="6CF704E1" w14:textId="77777777" w:rsidR="00C439A3" w:rsidRDefault="00C439A3">
      <w:pPr>
        <w:suppressAutoHyphens/>
        <w:jc w:val="center"/>
        <w:rPr>
          <w:spacing w:val="-3"/>
        </w:rPr>
      </w:pPr>
      <w:r>
        <w:rPr>
          <w:spacing w:val="-3"/>
        </w:rPr>
        <w:t>- - - - - - - - - - - - - - - - - - - - -</w:t>
      </w:r>
    </w:p>
    <w:p w14:paraId="5B831576" w14:textId="189B6F04" w:rsidR="00C439A3" w:rsidRDefault="00DF56A7" w:rsidP="00DF56A7">
      <w:pPr>
        <w:pStyle w:val="CoverDesc"/>
      </w:pPr>
      <w:r>
        <w:t>Approved Judgment</w:t>
      </w:r>
    </w:p>
    <w:p w14:paraId="4D8A5291" w14:textId="77777777" w:rsidR="00DF56A7" w:rsidRDefault="00DF56A7" w:rsidP="00DF56A7">
      <w:pPr>
        <w:jc w:val="center"/>
      </w:pPr>
      <w:r>
        <w:t xml:space="preserve"> </w:t>
      </w:r>
    </w:p>
    <w:p w14:paraId="473CDA95" w14:textId="33DBE45C" w:rsidR="00DF56A7" w:rsidRDefault="00DF56A7" w:rsidP="00DF56A7">
      <w:pPr>
        <w:jc w:val="center"/>
      </w:pPr>
      <w:r>
        <w:t xml:space="preserve">This judgment was handed down remotely at 10.30am on </w:t>
      </w:r>
      <w:r w:rsidR="00DB36B7">
        <w:t>21 July 2025</w:t>
      </w:r>
      <w:r>
        <w:t xml:space="preserve"> by circulation to the parties or their representatives by e-mail and by release to the National Archives.</w:t>
      </w:r>
    </w:p>
    <w:p w14:paraId="30386C16" w14:textId="77777777" w:rsidR="00DF56A7" w:rsidRDefault="00DF56A7" w:rsidP="00DF56A7">
      <w:pPr>
        <w:jc w:val="center"/>
      </w:pPr>
    </w:p>
    <w:p w14:paraId="6DDE968E" w14:textId="77777777" w:rsidR="00DF56A7" w:rsidRDefault="00DF56A7" w:rsidP="00DF56A7">
      <w:pPr>
        <w:jc w:val="center"/>
      </w:pPr>
      <w:r>
        <w:t>.............................</w:t>
      </w:r>
    </w:p>
    <w:p w14:paraId="4D94D043" w14:textId="7F9763DA" w:rsidR="00DF56A7" w:rsidRPr="00DF56A7" w:rsidRDefault="00DF56A7" w:rsidP="00DF56A7">
      <w:pPr>
        <w:jc w:val="center"/>
      </w:pPr>
    </w:p>
    <w:p w14:paraId="4EDB3518" w14:textId="77777777" w:rsidR="00C439A3" w:rsidRDefault="00C439A3">
      <w:pPr>
        <w:pStyle w:val="CoverDesc"/>
        <w:rPr>
          <w:sz w:val="24"/>
        </w:rPr>
      </w:pPr>
    </w:p>
    <w:p w14:paraId="2E8CCC5F" w14:textId="77777777" w:rsidR="00F50AFF" w:rsidRDefault="00F50AFF">
      <w:bookmarkStart w:id="1" w:name="bkCACaveat3"/>
      <w:bookmarkEnd w:id="1"/>
    </w:p>
    <w:p w14:paraId="6A8912F4" w14:textId="77777777" w:rsidR="00EC3D34" w:rsidRDefault="00EC3D34"/>
    <w:p w14:paraId="27A90E8E" w14:textId="77777777" w:rsidR="00E90A25" w:rsidRDefault="00E90A25">
      <w:pPr>
        <w:sectPr w:rsidR="00E90A25">
          <w:headerReference w:type="even" r:id="rId9"/>
          <w:headerReference w:type="default" r:id="rId10"/>
          <w:footerReference w:type="even" r:id="rId11"/>
          <w:footerReference w:type="default" r:id="rId12"/>
          <w:headerReference w:type="first" r:id="rId13"/>
          <w:footerReference w:type="first" r:id="rId14"/>
          <w:pgSz w:w="11909" w:h="16834" w:code="9"/>
          <w:pgMar w:top="720" w:right="1440" w:bottom="720" w:left="1440" w:header="720" w:footer="720" w:gutter="0"/>
          <w:pgNumType w:start="1"/>
          <w:cols w:space="720"/>
        </w:sectPr>
      </w:pPr>
    </w:p>
    <w:p w14:paraId="1BA0375A" w14:textId="3C6A1D92" w:rsidR="00C439A3" w:rsidRDefault="00B4437F">
      <w:pPr>
        <w:spacing w:after="240"/>
        <w:sectPr w:rsidR="00C439A3">
          <w:headerReference w:type="default" r:id="rId15"/>
          <w:footerReference w:type="default" r:id="rId16"/>
          <w:pgSz w:w="11906" w:h="16838" w:code="9"/>
          <w:pgMar w:top="1440" w:right="1440" w:bottom="1440" w:left="1440" w:header="709" w:footer="709" w:gutter="0"/>
          <w:cols w:space="708"/>
          <w:docGrid w:linePitch="360"/>
        </w:sectPr>
      </w:pPr>
      <w:r>
        <w:rPr>
          <w:b/>
        </w:rPr>
        <w:lastRenderedPageBreak/>
        <w:t>Lord Justice Arnold</w:t>
      </w:r>
      <w:r w:rsidR="00C439A3">
        <w:rPr>
          <w:b/>
        </w:rPr>
        <w:t>:</w:t>
      </w:r>
      <w:r w:rsidR="00C439A3">
        <w:t xml:space="preserve"> </w:t>
      </w:r>
    </w:p>
    <w:p w14:paraId="4CAFC926" w14:textId="0F0DA2D4" w:rsidR="00564212" w:rsidRPr="00564212" w:rsidRDefault="00564212" w:rsidP="00DF56A7">
      <w:pPr>
        <w:pStyle w:val="ParaHeading"/>
        <w:rPr>
          <w:u w:val="single"/>
        </w:rPr>
      </w:pPr>
      <w:r w:rsidRPr="00564212">
        <w:rPr>
          <w:u w:val="single"/>
        </w:rPr>
        <w:t>Introduction</w:t>
      </w:r>
    </w:p>
    <w:p w14:paraId="3E639661" w14:textId="3E93378F" w:rsidR="00EA4D04" w:rsidRDefault="001C1075" w:rsidP="00DF56A7">
      <w:pPr>
        <w:pStyle w:val="ParaLevel1"/>
      </w:pPr>
      <w:r>
        <w:t xml:space="preserve">On 16 July 2025 </w:t>
      </w:r>
      <w:r w:rsidR="000D3183">
        <w:t xml:space="preserve">this Court (Peter Jackson LJ, Stuart-Smith LJ and myself) handed down </w:t>
      </w:r>
      <w:r w:rsidR="00E83C4C">
        <w:t xml:space="preserve">judgments </w:t>
      </w:r>
      <w:r w:rsidR="00E81996">
        <w:t xml:space="preserve">([2025] EWCA Civ 903) </w:t>
      </w:r>
      <w:r w:rsidR="00E83C4C">
        <w:t xml:space="preserve">dismissing </w:t>
      </w:r>
      <w:r w:rsidR="007056EE">
        <w:t>an appeal by the Defendant (“</w:t>
      </w:r>
      <w:r w:rsidR="00E83C4C">
        <w:t>AstraZeneca</w:t>
      </w:r>
      <w:r w:rsidR="007056EE">
        <w:t>”)</w:t>
      </w:r>
      <w:r w:rsidR="00E83C4C">
        <w:t xml:space="preserve"> </w:t>
      </w:r>
      <w:r w:rsidR="00E81996">
        <w:t xml:space="preserve">against an order made by Dr Michael Tappin KC </w:t>
      </w:r>
      <w:r w:rsidR="006A092A">
        <w:t xml:space="preserve">sitting as a Deputy </w:t>
      </w:r>
      <w:r w:rsidR="00E6280C">
        <w:t xml:space="preserve">High Court Judge </w:t>
      </w:r>
      <w:r w:rsidR="00F64CB6">
        <w:t xml:space="preserve">revoking </w:t>
      </w:r>
      <w:r w:rsidR="003C5D3B" w:rsidRPr="003C5D3B">
        <w:t>UK Supplementary Protection Certificates Nos. SPC/GB13/021 and SPC/GB14/050</w:t>
      </w:r>
      <w:r w:rsidR="003C5D3B">
        <w:t xml:space="preserve"> </w:t>
      </w:r>
      <w:r w:rsidR="00025656">
        <w:t xml:space="preserve">(“the SPCs”) </w:t>
      </w:r>
      <w:r w:rsidR="003C5D3B">
        <w:t xml:space="preserve">on the ground that the patent upon which they were based, </w:t>
      </w:r>
      <w:r w:rsidR="00564212" w:rsidRPr="00564212">
        <w:t>European Patent (UK) No. 1 506 211 (“the Patent”)</w:t>
      </w:r>
      <w:r w:rsidR="00794351">
        <w:t>,</w:t>
      </w:r>
      <w:r w:rsidR="00564212">
        <w:t xml:space="preserve"> was invalid</w:t>
      </w:r>
      <w:r w:rsidR="00016F3A" w:rsidRPr="00016F3A">
        <w:rPr>
          <w:szCs w:val="24"/>
        </w:rPr>
        <w:t xml:space="preserve"> </w:t>
      </w:r>
      <w:r w:rsidR="00016F3A">
        <w:rPr>
          <w:szCs w:val="24"/>
        </w:rPr>
        <w:t>for the reasons given in his judgment dated</w:t>
      </w:r>
      <w:r w:rsidR="00016F3A" w:rsidRPr="00016F3A">
        <w:t xml:space="preserve"> 28 April 2025</w:t>
      </w:r>
      <w:r w:rsidR="00016F3A">
        <w:t xml:space="preserve"> ([2025] EWHC </w:t>
      </w:r>
      <w:r w:rsidR="007056EE">
        <w:t>1012 (Pat))</w:t>
      </w:r>
      <w:r w:rsidR="00564212">
        <w:t>.</w:t>
      </w:r>
      <w:r w:rsidR="00265203">
        <w:t xml:space="preserve"> </w:t>
      </w:r>
      <w:r w:rsidR="007D3E08" w:rsidRPr="007D3E08">
        <w:t>The claims of the Patent relate to a compound called dapagliflozin, marketed by AstraZeneca under the trade mark Forxiga, which is used to treat diabetes</w:t>
      </w:r>
      <w:r w:rsidR="00E82A17">
        <w:t xml:space="preserve"> and other conditions. </w:t>
      </w:r>
      <w:r w:rsidR="005B0F42">
        <w:t xml:space="preserve">The Court </w:t>
      </w:r>
      <w:r w:rsidR="000C01FB">
        <w:t>refused</w:t>
      </w:r>
      <w:r w:rsidR="000C01FB" w:rsidRPr="000C01FB">
        <w:rPr>
          <w:szCs w:val="24"/>
        </w:rPr>
        <w:t xml:space="preserve"> </w:t>
      </w:r>
      <w:r w:rsidR="000C01FB" w:rsidRPr="000C01FB">
        <w:t>AstraZeneca</w:t>
      </w:r>
      <w:r w:rsidR="000C01FB">
        <w:t xml:space="preserve"> permission to appeal to the Supreme Court on the ground that there was no arguable point of law which would enable </w:t>
      </w:r>
      <w:r w:rsidR="000C01FB" w:rsidRPr="000C01FB">
        <w:t>AstraZeneca</w:t>
      </w:r>
      <w:r w:rsidR="000C01FB">
        <w:t xml:space="preserve"> to succeed on an appeal.</w:t>
      </w:r>
      <w:r w:rsidR="006C1D26">
        <w:t xml:space="preserve"> </w:t>
      </w:r>
    </w:p>
    <w:p w14:paraId="2DF19005" w14:textId="0A1102C2" w:rsidR="00025656" w:rsidRDefault="006C1D26" w:rsidP="00DF56A7">
      <w:pPr>
        <w:pStyle w:val="ParaLevel1"/>
      </w:pPr>
      <w:r>
        <w:t>Before knowing th</w:t>
      </w:r>
      <w:r w:rsidR="00EA4D04">
        <w:t>o</w:t>
      </w:r>
      <w:r>
        <w:t xml:space="preserve">se decisions, </w:t>
      </w:r>
      <w:r w:rsidRPr="006C1D26">
        <w:t>AstraZeneca</w:t>
      </w:r>
      <w:r>
        <w:t xml:space="preserve"> </w:t>
      </w:r>
      <w:r w:rsidR="001E3006">
        <w:t>(and its subsidiary AstraZeneca UK Ltd</w:t>
      </w:r>
      <w:r w:rsidR="00F9060E">
        <w:t>, which is a party to the infringement proceedings</w:t>
      </w:r>
      <w:r w:rsidR="00D95E77">
        <w:t xml:space="preserve"> referred to below</w:t>
      </w:r>
      <w:r w:rsidR="00465D5B">
        <w:t>,</w:t>
      </w:r>
      <w:r w:rsidR="00AF53B0">
        <w:t xml:space="preserve"> but </w:t>
      </w:r>
      <w:r w:rsidR="009D0743">
        <w:t>who</w:t>
      </w:r>
      <w:r w:rsidR="009F01AB">
        <w:t xml:space="preserve">se </w:t>
      </w:r>
      <w:r w:rsidR="006E1E12">
        <w:t xml:space="preserve">involvement </w:t>
      </w:r>
      <w:r w:rsidR="009D0743">
        <w:t xml:space="preserve">I shall </w:t>
      </w:r>
      <w:r w:rsidR="002C2A28">
        <w:t>not mention again</w:t>
      </w:r>
      <w:r w:rsidR="001E3006">
        <w:t xml:space="preserve">) </w:t>
      </w:r>
      <w:r>
        <w:t>had made a</w:t>
      </w:r>
      <w:r w:rsidR="00983C2D">
        <w:t xml:space="preserve"> precautionary</w:t>
      </w:r>
      <w:r>
        <w:t xml:space="preserve"> application for an interim </w:t>
      </w:r>
      <w:r w:rsidR="00E82A17">
        <w:t>injunction</w:t>
      </w:r>
      <w:r w:rsidR="000C01FB">
        <w:t xml:space="preserve"> </w:t>
      </w:r>
      <w:r w:rsidR="00E82A17">
        <w:t>to restrain the Claimants</w:t>
      </w:r>
      <w:r w:rsidR="003F5828">
        <w:t xml:space="preserve"> (“Viatris”, “Teva” and “Glenmark”)</w:t>
      </w:r>
      <w:r w:rsidR="00482D1E">
        <w:t xml:space="preserve"> and </w:t>
      </w:r>
      <w:r w:rsidR="007824AD">
        <w:t>two other respondents</w:t>
      </w:r>
      <w:r w:rsidR="003F5828">
        <w:t xml:space="preserve"> (“Sandoz” and “Bestway”) from </w:t>
      </w:r>
      <w:r w:rsidR="0095242A">
        <w:t xml:space="preserve">marketing generic </w:t>
      </w:r>
      <w:r w:rsidR="0095242A" w:rsidRPr="0095242A">
        <w:t>dapagliflozin</w:t>
      </w:r>
      <w:r w:rsidR="0095242A">
        <w:t xml:space="preserve"> until the determination by the Supreme Court either of </w:t>
      </w:r>
      <w:r w:rsidR="00A65F4B">
        <w:t xml:space="preserve">an appeal, or an application for permission to appeal, by </w:t>
      </w:r>
      <w:r w:rsidR="00A65F4B" w:rsidRPr="00A65F4B">
        <w:t>AstraZeneca</w:t>
      </w:r>
      <w:r w:rsidR="00A65F4B">
        <w:t xml:space="preserve">. </w:t>
      </w:r>
      <w:r w:rsidR="006F4A43">
        <w:t>In the light of the</w:t>
      </w:r>
      <w:r w:rsidR="00AA790C">
        <w:t xml:space="preserve"> Court’s</w:t>
      </w:r>
      <w:r w:rsidR="006F4A43">
        <w:t xml:space="preserve"> decisions, </w:t>
      </w:r>
      <w:r w:rsidR="006F4A43" w:rsidRPr="006F4A43">
        <w:t>AstraZeneca</w:t>
      </w:r>
      <w:r w:rsidR="006F4A43">
        <w:t xml:space="preserve"> con</w:t>
      </w:r>
      <w:r w:rsidR="007F2528">
        <w:t xml:space="preserve">centrated </w:t>
      </w:r>
      <w:r w:rsidR="006F4A43">
        <w:t xml:space="preserve">its application </w:t>
      </w:r>
      <w:r w:rsidR="007F2528">
        <w:t>on</w:t>
      </w:r>
      <w:r w:rsidR="006F4A43">
        <w:t xml:space="preserve"> the second </w:t>
      </w:r>
      <w:r w:rsidR="00AA790C">
        <w:t xml:space="preserve">of those </w:t>
      </w:r>
      <w:r w:rsidR="006F4A43">
        <w:t>alternatives</w:t>
      </w:r>
      <w:r w:rsidR="00AA790C">
        <w:t xml:space="preserve">. Having </w:t>
      </w:r>
      <w:r w:rsidR="005E2A41">
        <w:t xml:space="preserve">heard argument on that application, the present constitution of the Court announced that the application would </w:t>
      </w:r>
      <w:r w:rsidR="002D3BF7">
        <w:t xml:space="preserve">be </w:t>
      </w:r>
      <w:r w:rsidR="005E2A41">
        <w:t xml:space="preserve">refused, but nevertheless </w:t>
      </w:r>
      <w:r w:rsidR="00BF5CEC">
        <w:t xml:space="preserve">granted </w:t>
      </w:r>
      <w:r w:rsidR="005E2A41">
        <w:t xml:space="preserve">an </w:t>
      </w:r>
      <w:r w:rsidR="00C448AC">
        <w:t xml:space="preserve">interim </w:t>
      </w:r>
      <w:r w:rsidR="005E2A41">
        <w:t>in</w:t>
      </w:r>
      <w:r w:rsidR="00C448AC">
        <w:t xml:space="preserve">junction until 4pm on 30 July 2025, for </w:t>
      </w:r>
      <w:r w:rsidR="00EA4D04">
        <w:t>reasons which were briefly outlined orally</w:t>
      </w:r>
      <w:r w:rsidR="00113940">
        <w:t>,</w:t>
      </w:r>
      <w:r w:rsidR="00EA4D04">
        <w:t xml:space="preserve"> but to be explained </w:t>
      </w:r>
      <w:r w:rsidR="002D3BF7">
        <w:t>more fully in writing later. This judgment sets out my reasons for reaching that conclusion.</w:t>
      </w:r>
      <w:r w:rsidR="00C22125">
        <w:t xml:space="preserve"> It also explains why, in reaching that conclusion, we declined to hear </w:t>
      </w:r>
      <w:r w:rsidR="00CD7983">
        <w:t xml:space="preserve">full </w:t>
      </w:r>
      <w:r w:rsidR="000666E3">
        <w:t xml:space="preserve">oral </w:t>
      </w:r>
      <w:r w:rsidR="00C22125">
        <w:t xml:space="preserve">argument </w:t>
      </w:r>
      <w:r w:rsidR="00CD7983">
        <w:t>on adequacy of damages</w:t>
      </w:r>
      <w:r w:rsidR="00584EB4">
        <w:t>.</w:t>
      </w:r>
      <w:r w:rsidR="00CD7983">
        <w:t xml:space="preserve"> </w:t>
      </w:r>
      <w:r w:rsidR="002D3BF7">
        <w:t xml:space="preserve">Although </w:t>
      </w:r>
      <w:r w:rsidR="00890B1A">
        <w:t>the reasons can be stated rea</w:t>
      </w:r>
      <w:r w:rsidR="002E5DDD">
        <w:t>sonably</w:t>
      </w:r>
      <w:r w:rsidR="00890B1A">
        <w:t xml:space="preserve"> </w:t>
      </w:r>
      <w:r w:rsidR="002E5DDD">
        <w:t>succinctl</w:t>
      </w:r>
      <w:r w:rsidR="00890B1A">
        <w:t xml:space="preserve">y, in the interests of transparency I shall </w:t>
      </w:r>
      <w:r w:rsidR="00025656">
        <w:t xml:space="preserve">explain the procedural background in </w:t>
      </w:r>
      <w:r w:rsidR="00584EB4">
        <w:t xml:space="preserve">a little </w:t>
      </w:r>
      <w:r w:rsidR="00025656">
        <w:t>detail.</w:t>
      </w:r>
    </w:p>
    <w:p w14:paraId="3CA8FF8A" w14:textId="300E5625" w:rsidR="00681FC6" w:rsidRPr="00681FC6" w:rsidRDefault="00681FC6" w:rsidP="00DF56A7">
      <w:pPr>
        <w:pStyle w:val="ParaHeading"/>
        <w:rPr>
          <w:u w:val="single"/>
        </w:rPr>
      </w:pPr>
      <w:r w:rsidRPr="00681FC6">
        <w:rPr>
          <w:u w:val="single"/>
        </w:rPr>
        <w:t>Procedural background</w:t>
      </w:r>
    </w:p>
    <w:p w14:paraId="0279AFD7" w14:textId="77777777" w:rsidR="00705B51" w:rsidRDefault="00DE0548" w:rsidP="00DF56A7">
      <w:pPr>
        <w:pStyle w:val="ParaLevel1"/>
      </w:pPr>
      <w:r>
        <w:t>Viatris, Teva and Glenmark brought claims for revocation of the SPCs on 9 Octobe</w:t>
      </w:r>
      <w:r w:rsidR="003551D5">
        <w:t xml:space="preserve">r, 24 November and 21 December 2023 respectively. No application was made for expedition of the trial of these claims, and they were </w:t>
      </w:r>
      <w:r w:rsidR="003B5258">
        <w:t>listed for trial in March 202</w:t>
      </w:r>
      <w:r w:rsidR="009332D8">
        <w:t>5</w:t>
      </w:r>
      <w:r w:rsidR="0050071E">
        <w:t xml:space="preserve">. The trial was heard by Dr Tappin KC </w:t>
      </w:r>
      <w:r w:rsidR="009332D8">
        <w:t>between 10 and 20 March 2025, and judgment was reserved.</w:t>
      </w:r>
    </w:p>
    <w:p w14:paraId="5A181F59" w14:textId="1297A7C6" w:rsidR="004C025D" w:rsidRDefault="006E7990" w:rsidP="00DF56A7">
      <w:pPr>
        <w:pStyle w:val="ParaLevel1"/>
      </w:pPr>
      <w:r>
        <w:t>O</w:t>
      </w:r>
      <w:r w:rsidRPr="006E7990">
        <w:t>n 20 February 2025 Glenmark notified AstraZeneca that it had obtained a</w:t>
      </w:r>
      <w:r w:rsidR="005E7462">
        <w:t xml:space="preserve"> marketing authorisation</w:t>
      </w:r>
      <w:r w:rsidRPr="006E7990">
        <w:t xml:space="preserve"> for a </w:t>
      </w:r>
      <w:r w:rsidR="005E7462">
        <w:t xml:space="preserve">generic </w:t>
      </w:r>
      <w:r w:rsidRPr="006E7990">
        <w:t>dapagliflozin product and was prepared to launch that product “at risk” (i.e. to take the risk that AstraZeneca would bring proceedings for infringement of the SPC</w:t>
      </w:r>
      <w:r w:rsidR="00A30C5E">
        <w:t>s</w:t>
      </w:r>
      <w:r w:rsidRPr="006E7990">
        <w:t xml:space="preserve"> and the consequences which that might entail)</w:t>
      </w:r>
      <w:r w:rsidR="00302542">
        <w:t xml:space="preserve"> on 1</w:t>
      </w:r>
      <w:r w:rsidRPr="006E7990">
        <w:t>7 March 2025</w:t>
      </w:r>
      <w:r w:rsidR="00302542">
        <w:t xml:space="preserve">. </w:t>
      </w:r>
      <w:r w:rsidR="002E4E04" w:rsidRPr="002E4E04">
        <w:t xml:space="preserve">On </w:t>
      </w:r>
      <w:r w:rsidR="00BC6B6F" w:rsidRPr="00BC6B6F">
        <w:t>6 March 2025</w:t>
      </w:r>
      <w:r w:rsidR="002E4E04" w:rsidRPr="002E4E04">
        <w:t xml:space="preserve"> AstraZeneca </w:t>
      </w:r>
      <w:r w:rsidR="00BC6B6F">
        <w:t xml:space="preserve">applied for an </w:t>
      </w:r>
      <w:r w:rsidR="002E4E04" w:rsidRPr="002E4E04">
        <w:t>interim injunction</w:t>
      </w:r>
      <w:r w:rsidR="00BC6B6F">
        <w:t xml:space="preserve"> to restrain </w:t>
      </w:r>
      <w:r w:rsidR="00BC6B6F" w:rsidRPr="00BC6B6F">
        <w:t>Glenmark</w:t>
      </w:r>
      <w:r w:rsidR="000A15DD">
        <w:t xml:space="preserve"> from marketing</w:t>
      </w:r>
      <w:r w:rsidR="000A15DD" w:rsidRPr="000A15DD">
        <w:rPr>
          <w:szCs w:val="24"/>
        </w:rPr>
        <w:t xml:space="preserve"> </w:t>
      </w:r>
      <w:r w:rsidR="000A15DD" w:rsidRPr="000A15DD">
        <w:t>dapagliflozin</w:t>
      </w:r>
      <w:r w:rsidR="000A15DD">
        <w:t xml:space="preserve"> until the conclusion of the form of order hearing </w:t>
      </w:r>
      <w:r w:rsidR="00E72F22">
        <w:t>after the delivery of the judgment</w:t>
      </w:r>
      <w:r w:rsidR="002A5855">
        <w:t>, and subsequently it commenced infringement proceedings</w:t>
      </w:r>
      <w:r w:rsidR="002E4E04" w:rsidRPr="002E4E04">
        <w:t xml:space="preserve">. The first date on which it proved feasible for the judge to hear the application was 27 March 2025. Glenmark gave an undertaking not to market its product prior to the determination of the application in return for a cross-undertaking </w:t>
      </w:r>
      <w:r w:rsidR="002E4E04" w:rsidRPr="002E4E04">
        <w:lastRenderedPageBreak/>
        <w:t>in damages from AstraZeneca.</w:t>
      </w:r>
      <w:r w:rsidR="003B05CD">
        <w:t xml:space="preserve"> The judge refused the application for the reasons given in his judgment of 28 March 2025</w:t>
      </w:r>
      <w:r w:rsidR="001C6B73">
        <w:t xml:space="preserve"> ([2025] EWHC </w:t>
      </w:r>
      <w:r w:rsidR="00816102">
        <w:t>748 (Pat))</w:t>
      </w:r>
      <w:r w:rsidR="003B05CD">
        <w:t>,</w:t>
      </w:r>
      <w:r w:rsidR="00816102">
        <w:t xml:space="preserve"> but</w:t>
      </w:r>
      <w:r w:rsidR="00B4419B">
        <w:t xml:space="preserve"> on 9 April 2025</w:t>
      </w:r>
      <w:r w:rsidR="00816102">
        <w:t xml:space="preserve"> this Court (Coulson LJ, Warby LJ and myself)</w:t>
      </w:r>
      <w:r w:rsidR="00B4419B">
        <w:t xml:space="preserve"> allowed </w:t>
      </w:r>
      <w:r w:rsidR="00B4419B" w:rsidRPr="00B4419B">
        <w:t>AstraZeneca</w:t>
      </w:r>
      <w:r w:rsidR="00B4419B">
        <w:t>’s appeal for the reasons given in judgments handed down on 16 April 202</w:t>
      </w:r>
      <w:r w:rsidR="009F183E">
        <w:t>5</w:t>
      </w:r>
      <w:r w:rsidR="00B4419B">
        <w:t xml:space="preserve"> ([202</w:t>
      </w:r>
      <w:r w:rsidR="003941C8">
        <w:t>5] EWCA Civ 480).</w:t>
      </w:r>
    </w:p>
    <w:p w14:paraId="05AE455E" w14:textId="30882DDE" w:rsidR="00EF6D54" w:rsidRDefault="00EC4301" w:rsidP="00DF56A7">
      <w:pPr>
        <w:pStyle w:val="ParaLevel1"/>
      </w:pPr>
      <w:r>
        <w:t xml:space="preserve">In the meantime </w:t>
      </w:r>
      <w:r w:rsidR="0066716B">
        <w:t>it had become clear that Teva and Viatris were also p</w:t>
      </w:r>
      <w:r w:rsidR="00055B12">
        <w:t>repar</w:t>
      </w:r>
      <w:r w:rsidR="0066716B">
        <w:t>ing to launch generic</w:t>
      </w:r>
      <w:r w:rsidR="005E7462">
        <w:t xml:space="preserve"> </w:t>
      </w:r>
      <w:r w:rsidR="005E7462" w:rsidRPr="005E7462">
        <w:t>dapagliflozin</w:t>
      </w:r>
      <w:r w:rsidR="002A5855">
        <w:t xml:space="preserve"> products.</w:t>
      </w:r>
      <w:r w:rsidR="0065526F" w:rsidRPr="0065526F">
        <w:rPr>
          <w:szCs w:val="24"/>
        </w:rPr>
        <w:t xml:space="preserve"> </w:t>
      </w:r>
      <w:r w:rsidR="0065526F" w:rsidRPr="0065526F">
        <w:t>AstraZeneca</w:t>
      </w:r>
      <w:r w:rsidR="0065526F">
        <w:t xml:space="preserve"> commenced infringement proceedings against </w:t>
      </w:r>
      <w:r w:rsidR="0065526F" w:rsidRPr="0065526F">
        <w:t>Teva</w:t>
      </w:r>
      <w:r w:rsidR="0065526F">
        <w:t xml:space="preserve"> and </w:t>
      </w:r>
      <w:r w:rsidR="0065526F" w:rsidRPr="0065526F">
        <w:t>Viatris</w:t>
      </w:r>
      <w:r w:rsidR="00542668">
        <w:t xml:space="preserve">, and obtained undertakings </w:t>
      </w:r>
      <w:r w:rsidR="008642D0">
        <w:t>from</w:t>
      </w:r>
      <w:r w:rsidR="00542668">
        <w:t xml:space="preserve"> </w:t>
      </w:r>
      <w:r w:rsidR="00542668" w:rsidRPr="00542668">
        <w:t>Teva</w:t>
      </w:r>
      <w:r w:rsidR="00542668">
        <w:t xml:space="preserve"> and </w:t>
      </w:r>
      <w:r w:rsidR="00542668" w:rsidRPr="00542668">
        <w:t>Viatris</w:t>
      </w:r>
      <w:r w:rsidR="00542668">
        <w:t xml:space="preserve"> </w:t>
      </w:r>
      <w:r w:rsidR="003C240A">
        <w:t xml:space="preserve">that they </w:t>
      </w:r>
      <w:r w:rsidR="00542668">
        <w:t xml:space="preserve">would not launch </w:t>
      </w:r>
      <w:r w:rsidR="001F1AD9">
        <w:t>prior to judgment on the revocation claims</w:t>
      </w:r>
      <w:r w:rsidR="008642D0">
        <w:t>, again subject to the usual cross-undertakings</w:t>
      </w:r>
      <w:r w:rsidR="001F1AD9">
        <w:t>.</w:t>
      </w:r>
    </w:p>
    <w:p w14:paraId="426863CB" w14:textId="6C773B23" w:rsidR="006243B3" w:rsidRDefault="009F7CF4" w:rsidP="00DF56A7">
      <w:pPr>
        <w:pStyle w:val="ParaLevel1"/>
      </w:pPr>
      <w:r>
        <w:t xml:space="preserve">On </w:t>
      </w:r>
      <w:r w:rsidR="00587BD3">
        <w:t>1 May</w:t>
      </w:r>
      <w:r w:rsidR="005E575D">
        <w:t xml:space="preserve"> 2025 </w:t>
      </w:r>
      <w:r w:rsidR="005E575D" w:rsidRPr="005E575D">
        <w:t>AstraZeneca</w:t>
      </w:r>
      <w:r w:rsidR="005E575D">
        <w:t xml:space="preserve"> applied to Dr Tappin KC for permission to appeal </w:t>
      </w:r>
      <w:r w:rsidR="00CC6181">
        <w:t>against his decision to revoke the SPC, having already applied</w:t>
      </w:r>
      <w:r w:rsidR="005E575D">
        <w:t xml:space="preserve"> for an interim injunction to restrain </w:t>
      </w:r>
      <w:r w:rsidR="005E575D" w:rsidRPr="005E575D">
        <w:t>Glenmark</w:t>
      </w:r>
      <w:r w:rsidR="005E575D">
        <w:t>,</w:t>
      </w:r>
      <w:r w:rsidR="005E575D" w:rsidRPr="005E575D">
        <w:rPr>
          <w:szCs w:val="24"/>
        </w:rPr>
        <w:t xml:space="preserve"> </w:t>
      </w:r>
      <w:r w:rsidR="005E575D" w:rsidRPr="005E575D">
        <w:t>Teva</w:t>
      </w:r>
      <w:r w:rsidR="005E575D">
        <w:t xml:space="preserve"> and</w:t>
      </w:r>
      <w:r w:rsidR="005E575D" w:rsidRPr="005E575D">
        <w:rPr>
          <w:szCs w:val="24"/>
        </w:rPr>
        <w:t xml:space="preserve"> </w:t>
      </w:r>
      <w:r w:rsidR="005E575D" w:rsidRPr="005E575D">
        <w:t>Viatris</w:t>
      </w:r>
      <w:r w:rsidR="005E575D">
        <w:t xml:space="preserve"> from marketing </w:t>
      </w:r>
      <w:r w:rsidR="005E575D" w:rsidRPr="005E575D">
        <w:t>dapagliflozin</w:t>
      </w:r>
      <w:r w:rsidR="005E575D">
        <w:t xml:space="preserve"> </w:t>
      </w:r>
      <w:r w:rsidR="00B30DE8">
        <w:t>until the determination of the appeal</w:t>
      </w:r>
      <w:r w:rsidR="00CC6181">
        <w:t xml:space="preserve"> on 29 April 2025</w:t>
      </w:r>
      <w:r w:rsidR="00B30DE8">
        <w:t xml:space="preserve">. Dr Tappin KC </w:t>
      </w:r>
      <w:r w:rsidR="007741B7">
        <w:t xml:space="preserve">subsequently </w:t>
      </w:r>
      <w:r w:rsidR="00B30DE8">
        <w:t xml:space="preserve">granted </w:t>
      </w:r>
      <w:r w:rsidR="00B30DE8" w:rsidRPr="00B30DE8">
        <w:t>AstraZeneca</w:t>
      </w:r>
      <w:r w:rsidR="00B30DE8">
        <w:t xml:space="preserve"> permission to appeal</w:t>
      </w:r>
      <w:r w:rsidR="007741B7">
        <w:t xml:space="preserve">. </w:t>
      </w:r>
      <w:r w:rsidR="0070351F">
        <w:t xml:space="preserve">The application for </w:t>
      </w:r>
      <w:r w:rsidR="0070351F" w:rsidRPr="0070351F">
        <w:t>an interim injunction</w:t>
      </w:r>
      <w:r w:rsidR="0070351F">
        <w:t xml:space="preserve"> was adjourned, with undertakings being given in the </w:t>
      </w:r>
      <w:r w:rsidR="00F04212">
        <w:t xml:space="preserve">meantime, and in due course came before HHJ Hacon sitting as a High Court Judge. </w:t>
      </w:r>
    </w:p>
    <w:p w14:paraId="799BC759" w14:textId="2F7137EA" w:rsidR="006243B3" w:rsidRDefault="006243B3" w:rsidP="00DF56A7">
      <w:pPr>
        <w:pStyle w:val="ParaLevel1"/>
      </w:pPr>
      <w:r>
        <w:t xml:space="preserve">In the meantime </w:t>
      </w:r>
      <w:r w:rsidR="002907DD">
        <w:t xml:space="preserve">Sandoz launched a </w:t>
      </w:r>
      <w:r w:rsidR="001C5E59">
        <w:t xml:space="preserve">generic </w:t>
      </w:r>
      <w:r w:rsidR="001C5E59" w:rsidRPr="001C5E59">
        <w:t>dapagliflozin</w:t>
      </w:r>
      <w:r w:rsidR="001C5E59">
        <w:t xml:space="preserve"> product</w:t>
      </w:r>
      <w:r w:rsidR="009C1B35" w:rsidRPr="009C1B35">
        <w:rPr>
          <w:szCs w:val="24"/>
        </w:rPr>
        <w:t xml:space="preserve"> </w:t>
      </w:r>
      <w:r w:rsidR="009C1B35" w:rsidRPr="009C1B35">
        <w:t>immediately after the revocation judgment was handed down</w:t>
      </w:r>
      <w:r w:rsidR="006564F4">
        <w:t>,</w:t>
      </w:r>
      <w:r w:rsidR="001C5E59">
        <w:t xml:space="preserve"> and supplied 75,000 packs of it to Bestway</w:t>
      </w:r>
      <w:r w:rsidR="006564F4">
        <w:t xml:space="preserve">, </w:t>
      </w:r>
      <w:r w:rsidR="00C91385">
        <w:t xml:space="preserve">which Bestway started selling on 29 April 2025. </w:t>
      </w:r>
      <w:r w:rsidR="00787F87">
        <w:t xml:space="preserve">On 30 April 2025 </w:t>
      </w:r>
      <w:r w:rsidR="00787F87" w:rsidRPr="00787F87">
        <w:t>AstraZeneca</w:t>
      </w:r>
      <w:r w:rsidR="00787F87">
        <w:t xml:space="preserve"> applied for </w:t>
      </w:r>
      <w:r w:rsidR="00787F87" w:rsidRPr="00787F87">
        <w:t>an interim injunction</w:t>
      </w:r>
      <w:r w:rsidR="00787F87">
        <w:t xml:space="preserve"> against Sandoz and Bestway, which </w:t>
      </w:r>
      <w:r w:rsidR="000569FC">
        <w:t>led to</w:t>
      </w:r>
      <w:r w:rsidR="000569FC" w:rsidRPr="000569FC">
        <w:rPr>
          <w:szCs w:val="24"/>
        </w:rPr>
        <w:t xml:space="preserve"> </w:t>
      </w:r>
      <w:r w:rsidR="000569FC" w:rsidRPr="000569FC">
        <w:t>Sandoz</w:t>
      </w:r>
      <w:r w:rsidR="000569FC">
        <w:t xml:space="preserve"> and </w:t>
      </w:r>
      <w:r w:rsidR="000569FC" w:rsidRPr="000569FC">
        <w:t>Bestway</w:t>
      </w:r>
      <w:r w:rsidR="000569FC">
        <w:t xml:space="preserve"> giving similar undertakings to those which had been</w:t>
      </w:r>
      <w:r w:rsidR="009D5B90">
        <w:t xml:space="preserve"> given by </w:t>
      </w:r>
      <w:r w:rsidR="009D5B90" w:rsidRPr="009D5B90">
        <w:t>Glenmark</w:t>
      </w:r>
      <w:r w:rsidR="009D5B90">
        <w:t>,</w:t>
      </w:r>
      <w:r w:rsidR="009D5B90" w:rsidRPr="009D5B90">
        <w:rPr>
          <w:szCs w:val="24"/>
        </w:rPr>
        <w:t xml:space="preserve"> </w:t>
      </w:r>
      <w:r w:rsidR="009D5B90" w:rsidRPr="009D5B90">
        <w:t>Teva</w:t>
      </w:r>
      <w:r w:rsidR="009D5B90">
        <w:t xml:space="preserve"> and</w:t>
      </w:r>
      <w:r w:rsidR="009D5B90" w:rsidRPr="009D5B90">
        <w:rPr>
          <w:szCs w:val="24"/>
        </w:rPr>
        <w:t xml:space="preserve"> </w:t>
      </w:r>
      <w:r w:rsidR="009D5B90" w:rsidRPr="009D5B90">
        <w:t>Viatris</w:t>
      </w:r>
      <w:r w:rsidR="009D5B90">
        <w:t xml:space="preserve">. </w:t>
      </w:r>
      <w:r w:rsidR="004F29C9">
        <w:t xml:space="preserve">Most of the product sold by Bestway was recalled. </w:t>
      </w:r>
    </w:p>
    <w:p w14:paraId="3D19CBBF" w14:textId="149B2A6C" w:rsidR="00A466C7" w:rsidRDefault="001304B3" w:rsidP="00DF56A7">
      <w:pPr>
        <w:pStyle w:val="ParaLevel1"/>
      </w:pPr>
      <w:r>
        <w:t>By the time of the hearing</w:t>
      </w:r>
      <w:r w:rsidR="008345E7">
        <w:t xml:space="preserve"> before Judge Hacon, I had expedite</w:t>
      </w:r>
      <w:r w:rsidR="00E20F60">
        <w:t xml:space="preserve">d </w:t>
      </w:r>
      <w:r w:rsidR="008345E7">
        <w:t>the substantive appeal</w:t>
      </w:r>
      <w:r w:rsidR="00E20F60">
        <w:t xml:space="preserve"> and it had been listed for hearing on 25 and 26 June 2025.</w:t>
      </w:r>
      <w:r w:rsidR="009044A1">
        <w:t xml:space="preserve"> </w:t>
      </w:r>
      <w:r w:rsidR="0021698B">
        <w:t>On 28 May 2025 Judge Hacon</w:t>
      </w:r>
      <w:r w:rsidR="00F04212">
        <w:t xml:space="preserve"> granted the injunction</w:t>
      </w:r>
      <w:r w:rsidR="0021698B">
        <w:t xml:space="preserve"> sought by </w:t>
      </w:r>
      <w:r w:rsidR="0021698B" w:rsidRPr="0021698B">
        <w:t>AstraZeneca</w:t>
      </w:r>
      <w:r w:rsidR="00174196">
        <w:t xml:space="preserve"> against </w:t>
      </w:r>
      <w:r w:rsidR="00174196" w:rsidRPr="00174196">
        <w:t>Glenmark</w:t>
      </w:r>
      <w:r w:rsidR="00174196">
        <w:t>,</w:t>
      </w:r>
      <w:r w:rsidR="00174196" w:rsidRPr="00174196">
        <w:rPr>
          <w:szCs w:val="24"/>
        </w:rPr>
        <w:t xml:space="preserve"> </w:t>
      </w:r>
      <w:r w:rsidR="00174196" w:rsidRPr="00174196">
        <w:t>Teva</w:t>
      </w:r>
      <w:r w:rsidR="00174196">
        <w:t>,</w:t>
      </w:r>
      <w:r w:rsidR="00174196" w:rsidRPr="00174196">
        <w:rPr>
          <w:szCs w:val="24"/>
        </w:rPr>
        <w:t xml:space="preserve"> </w:t>
      </w:r>
      <w:r w:rsidR="00174196" w:rsidRPr="00174196">
        <w:t>Viatris</w:t>
      </w:r>
      <w:r w:rsidR="00174196">
        <w:t>,</w:t>
      </w:r>
      <w:r w:rsidR="00174196" w:rsidRPr="00174196">
        <w:rPr>
          <w:szCs w:val="24"/>
        </w:rPr>
        <w:t xml:space="preserve"> </w:t>
      </w:r>
      <w:r w:rsidR="00174196" w:rsidRPr="00174196">
        <w:t>Sandoz</w:t>
      </w:r>
      <w:r w:rsidR="00174196" w:rsidRPr="00174196">
        <w:rPr>
          <w:szCs w:val="24"/>
        </w:rPr>
        <w:t xml:space="preserve"> </w:t>
      </w:r>
      <w:r w:rsidR="00174196">
        <w:rPr>
          <w:szCs w:val="24"/>
        </w:rPr>
        <w:t xml:space="preserve">and </w:t>
      </w:r>
      <w:r w:rsidR="00174196" w:rsidRPr="00174196">
        <w:t>Bestway</w:t>
      </w:r>
      <w:r w:rsidR="00174196">
        <w:t xml:space="preserve"> until the determination of the appeal</w:t>
      </w:r>
      <w:r w:rsidR="00025F4C">
        <w:t xml:space="preserve"> for the reasons given in his judgment of that date</w:t>
      </w:r>
      <w:r w:rsidR="00A466C7">
        <w:t xml:space="preserve"> ([2025] EWHC 1339 (Pat)).</w:t>
      </w:r>
    </w:p>
    <w:p w14:paraId="256C545B" w14:textId="61752D72" w:rsidR="00EB7193" w:rsidRDefault="00A466C7" w:rsidP="00DF56A7">
      <w:pPr>
        <w:pStyle w:val="ParaLevel1"/>
      </w:pPr>
      <w:r w:rsidRPr="00A466C7">
        <w:t>Glenmark, Teva, Viatris, Sandoz and Bestway</w:t>
      </w:r>
      <w:r>
        <w:t xml:space="preserve"> all applied for permission to appeal against Judge Hacon’s order. On</w:t>
      </w:r>
      <w:r w:rsidR="00E325B7">
        <w:t xml:space="preserve"> 1</w:t>
      </w:r>
      <w:r w:rsidR="00AB3083">
        <w:t>3</w:t>
      </w:r>
      <w:r w:rsidR="00E325B7">
        <w:t xml:space="preserve"> June 2025 I refused all five applications to appeal </w:t>
      </w:r>
      <w:r w:rsidR="00EB7193">
        <w:t>on the grounds that the appeals had no real prospect of success and there was no other compelling reason to hear them (on the contrary, the imminence of the substantive appeal was a compelling reason not to hear the appeals unless they had a real prospect of success</w:t>
      </w:r>
      <w:r w:rsidR="00C41FEA">
        <w:t>)</w:t>
      </w:r>
      <w:r w:rsidR="00EB7193">
        <w:t>. I include</w:t>
      </w:r>
      <w:r w:rsidR="00A900F3">
        <w:t>d</w:t>
      </w:r>
      <w:r w:rsidR="00EB7193">
        <w:t xml:space="preserve"> the following direction in my order:</w:t>
      </w:r>
    </w:p>
    <w:p w14:paraId="505B6828" w14:textId="71607FD9" w:rsidR="00EB7193" w:rsidRDefault="00EB7193" w:rsidP="00DF56A7">
      <w:pPr>
        <w:pStyle w:val="Quote"/>
      </w:pPr>
      <w:r>
        <w:t>“</w:t>
      </w:r>
      <w:r w:rsidR="00E22B69" w:rsidRPr="00E22B69">
        <w:t>The parties should discuss with each other their respective plans with respect to an application for permission to appeal to the Supreme Court, and an application for an injunction or stay of an injunction pending the determination of that application, in advance of the hearing on 25 and 26 June 2025, and should make enquiries with the Court of Appeal List Office as to when in July 2025 any such application could be heard. Preparations should be made to enable the Court to deal with any such application in an orderly fashion.</w:t>
      </w:r>
      <w:r>
        <w:t>”</w:t>
      </w:r>
    </w:p>
    <w:p w14:paraId="63222A35" w14:textId="01251EB6" w:rsidR="004A1DDA" w:rsidRDefault="00A900F3" w:rsidP="00DF56A7">
      <w:pPr>
        <w:pStyle w:val="ParaLevel1"/>
      </w:pPr>
      <w:r>
        <w:t xml:space="preserve">This led to </w:t>
      </w:r>
      <w:r w:rsidR="003B3EC3">
        <w:t>16 July 202</w:t>
      </w:r>
      <w:r w:rsidR="008D7B7D">
        <w:t>5</w:t>
      </w:r>
      <w:r w:rsidR="003B3EC3">
        <w:t xml:space="preserve"> being identified as </w:t>
      </w:r>
      <w:r w:rsidR="00D56AEF">
        <w:t xml:space="preserve">a </w:t>
      </w:r>
      <w:r w:rsidR="00DE4F19">
        <w:t xml:space="preserve">date </w:t>
      </w:r>
      <w:r w:rsidR="00DE4F19" w:rsidRPr="00DE4F19">
        <w:t xml:space="preserve">by which the substantive judgments </w:t>
      </w:r>
      <w:r w:rsidR="00F46628">
        <w:t>o</w:t>
      </w:r>
      <w:r w:rsidR="00DE4F19" w:rsidRPr="00DE4F19">
        <w:t>n the appeal</w:t>
      </w:r>
      <w:r w:rsidR="00DE4F19">
        <w:t xml:space="preserve"> should be </w:t>
      </w:r>
      <w:r w:rsidR="00F46628">
        <w:t>available and which would be</w:t>
      </w:r>
      <w:r w:rsidR="003B3EC3">
        <w:t xml:space="preserve"> convenient </w:t>
      </w:r>
      <w:r w:rsidR="00590F48">
        <w:t>f</w:t>
      </w:r>
      <w:r w:rsidR="00AF0CE8">
        <w:t xml:space="preserve">or the hearing of </w:t>
      </w:r>
      <w:r w:rsidR="008D7B7D">
        <w:t xml:space="preserve">any </w:t>
      </w:r>
      <w:r w:rsidR="008D7B7D">
        <w:lastRenderedPageBreak/>
        <w:t xml:space="preserve">such application, and to a timetable for the filing of evidence being </w:t>
      </w:r>
      <w:r w:rsidR="004377C2">
        <w:t>directed</w:t>
      </w:r>
      <w:r w:rsidR="008D7B7D">
        <w:t xml:space="preserve">. </w:t>
      </w:r>
      <w:r w:rsidR="00D33F0F">
        <w:t xml:space="preserve">On 25 June 2025 </w:t>
      </w:r>
      <w:r w:rsidR="00D33F0F" w:rsidRPr="00D33F0F">
        <w:t>AstraZeneca</w:t>
      </w:r>
      <w:r w:rsidR="00D33F0F">
        <w:t xml:space="preserve"> filed an application notice for the relief</w:t>
      </w:r>
      <w:r w:rsidR="00E67CB2">
        <w:t xml:space="preserve"> described in </w:t>
      </w:r>
      <w:r w:rsidR="00E36D2D">
        <w:t>paragraph 2 above</w:t>
      </w:r>
      <w:r w:rsidR="00E67CB2">
        <w:t xml:space="preserve">. </w:t>
      </w:r>
      <w:r w:rsidR="00E67CB2" w:rsidRPr="00E67CB2">
        <w:t>Glenmark, Teva</w:t>
      </w:r>
      <w:r w:rsidR="006B474E">
        <w:t xml:space="preserve"> and</w:t>
      </w:r>
      <w:r w:rsidR="00E67CB2" w:rsidRPr="00E67CB2">
        <w:t xml:space="preserve"> Viatris </w:t>
      </w:r>
      <w:r w:rsidR="00E67CB2">
        <w:t xml:space="preserve">subsequently notified </w:t>
      </w:r>
      <w:r w:rsidR="00E67CB2" w:rsidRPr="00E67CB2">
        <w:t>AstraZeneca</w:t>
      </w:r>
      <w:r w:rsidR="00E67CB2">
        <w:t xml:space="preserve"> that, if the appeal were to be allowed, they would not seek a stay of a final injunction</w:t>
      </w:r>
      <w:r w:rsidR="00A732F2">
        <w:t xml:space="preserve"> pending an appeal to, or application for permission to appeal to, the Supreme Court.</w:t>
      </w:r>
    </w:p>
    <w:p w14:paraId="511A00AE" w14:textId="793FB04D" w:rsidR="00780F82" w:rsidRDefault="004A1DDA" w:rsidP="00DF56A7">
      <w:pPr>
        <w:pStyle w:val="ParaLevel1"/>
      </w:pPr>
      <w:r>
        <w:t>On</w:t>
      </w:r>
      <w:r w:rsidR="00175C5F">
        <w:t xml:space="preserve"> 3 July 2025 I granted t</w:t>
      </w:r>
      <w:r w:rsidR="00175C5F" w:rsidRPr="00175C5F">
        <w:t>he Secretary of State for Health and Social Care</w:t>
      </w:r>
      <w:r w:rsidR="00F239C4">
        <w:t xml:space="preserve"> (“the SSH</w:t>
      </w:r>
      <w:r w:rsidR="00316C99">
        <w:t>S</w:t>
      </w:r>
      <w:r w:rsidR="00F239C4">
        <w:t>C”)</w:t>
      </w:r>
      <w:r w:rsidR="00660AEE">
        <w:t xml:space="preserve"> permission</w:t>
      </w:r>
      <w:r w:rsidR="00175C5F" w:rsidRPr="00175C5F">
        <w:t xml:space="preserve"> to intervene</w:t>
      </w:r>
      <w:r w:rsidR="00175C5F">
        <w:t xml:space="preserve"> in the application</w:t>
      </w:r>
      <w:r w:rsidR="00F239C4">
        <w:t xml:space="preserve"> and to file evidence</w:t>
      </w:r>
      <w:r w:rsidR="00B12966">
        <w:t xml:space="preserve"> </w:t>
      </w:r>
      <w:r w:rsidR="00B70E0D">
        <w:t>from Susan Grieve</w:t>
      </w:r>
      <w:r w:rsidR="00BD31C0">
        <w:t xml:space="preserve">, who is head of the Medicines Framework and Reimbursement </w:t>
      </w:r>
      <w:r w:rsidR="006A5EC6">
        <w:t xml:space="preserve">team within the Medicines Directorate </w:t>
      </w:r>
      <w:r w:rsidR="00F57734">
        <w:t>in the Department of Health and Social Care</w:t>
      </w:r>
      <w:r w:rsidR="00F239C4">
        <w:t xml:space="preserve">. </w:t>
      </w:r>
      <w:r w:rsidR="00FE6AC7">
        <w:t>The SSH</w:t>
      </w:r>
      <w:r w:rsidR="00316C99">
        <w:t>S</w:t>
      </w:r>
      <w:r w:rsidR="00FE6AC7">
        <w:t>C</w:t>
      </w:r>
      <w:r w:rsidR="003257EC">
        <w:t xml:space="preserve"> </w:t>
      </w:r>
      <w:r w:rsidR="00590F48">
        <w:t>i</w:t>
      </w:r>
      <w:r w:rsidR="003257EC">
        <w:t>s ne</w:t>
      </w:r>
      <w:r w:rsidR="00121DD2">
        <w:t xml:space="preserve">utral with respect to </w:t>
      </w:r>
      <w:r w:rsidR="00121DD2" w:rsidRPr="00121DD2">
        <w:t>AstraZeneca</w:t>
      </w:r>
      <w:r w:rsidR="00121DD2">
        <w:t>’s application</w:t>
      </w:r>
      <w:r w:rsidR="006373F4">
        <w:t xml:space="preserve">, but </w:t>
      </w:r>
      <w:r w:rsidR="00590F48">
        <w:t>i</w:t>
      </w:r>
      <w:r w:rsidR="00FE6AC7">
        <w:t>s concerned that</w:t>
      </w:r>
      <w:r w:rsidR="00C43A95">
        <w:t xml:space="preserve">, in paragraphs 24 and 73 of my judgment </w:t>
      </w:r>
      <w:r w:rsidR="00215EE2">
        <w:t>of 16 April 2025</w:t>
      </w:r>
      <w:r w:rsidR="003257EC">
        <w:t>,</w:t>
      </w:r>
      <w:r w:rsidR="00FE6AC7">
        <w:t xml:space="preserve"> this Court misunder</w:t>
      </w:r>
      <w:r w:rsidR="00215EE2">
        <w:t>s</w:t>
      </w:r>
      <w:r w:rsidR="00FE6AC7">
        <w:t>too</w:t>
      </w:r>
      <w:r w:rsidR="00C43A95">
        <w:t>d</w:t>
      </w:r>
      <w:r w:rsidR="00215EE2">
        <w:t xml:space="preserve"> </w:t>
      </w:r>
      <w:r w:rsidR="00751B76">
        <w:t xml:space="preserve">the position of the National Health Service </w:t>
      </w:r>
      <w:r w:rsidR="00BF323D">
        <w:t>with respect to price rises by patentees</w:t>
      </w:r>
      <w:r w:rsidR="003257EC">
        <w:t xml:space="preserve"> (and SPC holders)</w:t>
      </w:r>
      <w:r w:rsidR="00BF323D">
        <w:t>.</w:t>
      </w:r>
      <w:r w:rsidR="00482CD7">
        <w:t xml:space="preserve"> </w:t>
      </w:r>
      <w:r w:rsidR="00B12966">
        <w:t>It is not appropriate to comment on that concern, but it is nevertheless</w:t>
      </w:r>
      <w:r w:rsidR="00F57734">
        <w:t xml:space="preserve"> worth recording</w:t>
      </w:r>
      <w:r w:rsidR="000C6D30">
        <w:t>, because it is often mis</w:t>
      </w:r>
      <w:r w:rsidR="001539F4">
        <w:t>understood</w:t>
      </w:r>
      <w:r w:rsidR="0035311B">
        <w:t>,</w:t>
      </w:r>
      <w:r w:rsidR="009E563D">
        <w:t xml:space="preserve"> an important point made by Ms Grieve, which is </w:t>
      </w:r>
      <w:r w:rsidR="001539F4">
        <w:t>that “</w:t>
      </w:r>
      <w:r w:rsidR="00AF2C59">
        <w:t xml:space="preserve">the NHS is not a body; it is a service, in the provision of which </w:t>
      </w:r>
      <w:r w:rsidR="001B34EC">
        <w:t>many different public bodies have different roles, often circumscribed by statute”.</w:t>
      </w:r>
      <w:r w:rsidR="001539F4">
        <w:t xml:space="preserve"> </w:t>
      </w:r>
      <w:r w:rsidR="003C402C">
        <w:t>NHS England</w:t>
      </w:r>
      <w:r w:rsidR="00E505DD">
        <w:t xml:space="preserve"> is, at present, one of</w:t>
      </w:r>
      <w:r w:rsidR="00554125">
        <w:t xml:space="preserve"> these bodies</w:t>
      </w:r>
      <w:r w:rsidR="00992984">
        <w:t xml:space="preserve">, but </w:t>
      </w:r>
      <w:r w:rsidR="00196479">
        <w:t>there are many others</w:t>
      </w:r>
      <w:r w:rsidR="003C402C">
        <w:t xml:space="preserve">. </w:t>
      </w:r>
      <w:r w:rsidR="00482CD7">
        <w:t>The SSH</w:t>
      </w:r>
      <w:r w:rsidR="004D3F1A">
        <w:t>S</w:t>
      </w:r>
      <w:r w:rsidR="00482CD7">
        <w:t xml:space="preserve">C also has an interest as a beneficiary of the various cross-undertakings given by </w:t>
      </w:r>
      <w:r w:rsidR="00482CD7" w:rsidRPr="00482CD7">
        <w:t>AstraZeneca</w:t>
      </w:r>
      <w:r w:rsidR="00482CD7">
        <w:t>.</w:t>
      </w:r>
    </w:p>
    <w:p w14:paraId="33E3AB81" w14:textId="438A1651" w:rsidR="006D6669" w:rsidRDefault="00780F82" w:rsidP="00DF56A7">
      <w:pPr>
        <w:pStyle w:val="ParaLevel1"/>
      </w:pPr>
      <w:r>
        <w:t xml:space="preserve">In the run-up to the hearing </w:t>
      </w:r>
      <w:r w:rsidR="00B31F76">
        <w:t xml:space="preserve">on 16 July 2025, Sandoz and </w:t>
      </w:r>
      <w:r w:rsidR="00B31F76" w:rsidRPr="00B31F76">
        <w:t>Bestway</w:t>
      </w:r>
      <w:r w:rsidR="00B31F76">
        <w:t xml:space="preserve"> pointed out that there was a potential jurisdictional problem in that, although they </w:t>
      </w:r>
      <w:r w:rsidR="00C22167">
        <w:t xml:space="preserve">were respondents to </w:t>
      </w:r>
      <w:r w:rsidR="00C22167" w:rsidRPr="00C22167">
        <w:t>AstraZeneca</w:t>
      </w:r>
      <w:r w:rsidR="00C22167">
        <w:t>’s application dated 25 June 2025, they were not parties to the revocation proceedings</w:t>
      </w:r>
      <w:r w:rsidR="006037C4">
        <w:t xml:space="preserve"> and hence would not be parties to any application by </w:t>
      </w:r>
      <w:r w:rsidR="006037C4" w:rsidRPr="006037C4">
        <w:t>AstraZeneca</w:t>
      </w:r>
      <w:r w:rsidR="006037C4">
        <w:t xml:space="preserve"> </w:t>
      </w:r>
      <w:r w:rsidR="009154B7">
        <w:t>for permission to appeal to the Supreme Court</w:t>
      </w:r>
      <w:r w:rsidR="00C22167">
        <w:t xml:space="preserve">. </w:t>
      </w:r>
      <w:r w:rsidR="00B777F6">
        <w:t xml:space="preserve">This problem was resolved partly by </w:t>
      </w:r>
      <w:r w:rsidR="00B777F6" w:rsidRPr="00B777F6">
        <w:t>Sandoz</w:t>
      </w:r>
      <w:r w:rsidR="00B777F6">
        <w:t xml:space="preserve"> and Bestway helpfully undertaking to </w:t>
      </w:r>
      <w:r w:rsidR="002478B9">
        <w:t xml:space="preserve">be bound by the outcome of the application against </w:t>
      </w:r>
      <w:r w:rsidR="002478B9" w:rsidRPr="002478B9">
        <w:t>Glenmark, Teva</w:t>
      </w:r>
      <w:r w:rsidR="002478B9">
        <w:t xml:space="preserve"> and</w:t>
      </w:r>
      <w:r w:rsidR="002478B9" w:rsidRPr="002478B9">
        <w:t xml:space="preserve"> Viatris</w:t>
      </w:r>
      <w:r w:rsidR="002478B9">
        <w:t xml:space="preserve"> and partly by my granting</w:t>
      </w:r>
      <w:r w:rsidR="002478B9" w:rsidRPr="002478B9">
        <w:t xml:space="preserve"> Sandoz and Bestway</w:t>
      </w:r>
      <w:r w:rsidR="002478B9">
        <w:t xml:space="preserve"> permission to intervene </w:t>
      </w:r>
      <w:r w:rsidR="006D6669">
        <w:t>if and to the extent necessary.</w:t>
      </w:r>
      <w:r w:rsidR="009154B7">
        <w:t xml:space="preserve"> At the hearing </w:t>
      </w:r>
      <w:r w:rsidR="009154B7" w:rsidRPr="009154B7">
        <w:t>Glenmark, Teva, Viatris, Sandoz and Bestway</w:t>
      </w:r>
      <w:r w:rsidR="009154B7">
        <w:t xml:space="preserve"> presented a united front in opposing </w:t>
      </w:r>
      <w:r w:rsidR="009154B7" w:rsidRPr="009154B7">
        <w:t>AstraZeneca</w:t>
      </w:r>
      <w:r w:rsidR="009154B7">
        <w:t>’s application.</w:t>
      </w:r>
    </w:p>
    <w:p w14:paraId="1FED9C2B" w14:textId="011E827A" w:rsidR="00DC54D1" w:rsidRDefault="00367EC6" w:rsidP="00DF56A7">
      <w:pPr>
        <w:pStyle w:val="ParaLevel1"/>
      </w:pPr>
      <w:r>
        <w:t xml:space="preserve">It should be appreciated that </w:t>
      </w:r>
      <w:r w:rsidRPr="00367EC6">
        <w:t>Glenmark, Teva, Viatris</w:t>
      </w:r>
      <w:r w:rsidR="00FA2484">
        <w:t xml:space="preserve"> and</w:t>
      </w:r>
      <w:r w:rsidRPr="00367EC6">
        <w:t xml:space="preserve"> Sandoz</w:t>
      </w:r>
      <w:r>
        <w:t xml:space="preserve"> are not </w:t>
      </w:r>
      <w:r w:rsidR="0084623A">
        <w:t xml:space="preserve">the </w:t>
      </w:r>
      <w:r>
        <w:t xml:space="preserve">only generic </w:t>
      </w:r>
      <w:r w:rsidR="00FE471B">
        <w:t xml:space="preserve">pharmaceutical companies interested in the </w:t>
      </w:r>
      <w:r w:rsidR="00FE471B" w:rsidRPr="00FE471B">
        <w:t>dapagliflozin</w:t>
      </w:r>
      <w:r w:rsidR="00FE471B">
        <w:t xml:space="preserve"> market. </w:t>
      </w:r>
      <w:r w:rsidR="00F15CA4">
        <w:t xml:space="preserve">12 other companies currently hold marketing authorisations for generic </w:t>
      </w:r>
      <w:r w:rsidR="00F15CA4" w:rsidRPr="00F15CA4">
        <w:t>dapagliflozin</w:t>
      </w:r>
      <w:r w:rsidR="00F15CA4">
        <w:t xml:space="preserve"> products, 11 of which are for </w:t>
      </w:r>
      <w:r w:rsidR="00F15CA4" w:rsidRPr="00F15CA4">
        <w:t>dapagliflozin</w:t>
      </w:r>
      <w:r w:rsidR="00F15CA4">
        <w:t xml:space="preserve"> monotherapy.</w:t>
      </w:r>
      <w:r w:rsidR="00E33C9A">
        <w:t xml:space="preserve"> It is not known how close any of them may be to launching </w:t>
      </w:r>
      <w:r w:rsidR="00E33C9A" w:rsidRPr="00E33C9A">
        <w:t>dapagliflozin</w:t>
      </w:r>
      <w:r w:rsidR="00E33C9A">
        <w:t xml:space="preserve"> products</w:t>
      </w:r>
      <w:r w:rsidR="004348C8">
        <w:t xml:space="preserve">, but all have given undertakings or assurances to </w:t>
      </w:r>
      <w:r w:rsidR="004348C8" w:rsidRPr="004348C8">
        <w:t>AstraZeneca</w:t>
      </w:r>
      <w:r w:rsidR="00B7700F">
        <w:t xml:space="preserve"> </w:t>
      </w:r>
      <w:r w:rsidR="00411D36">
        <w:t xml:space="preserve">not to launch </w:t>
      </w:r>
      <w:r w:rsidR="00B7700F">
        <w:t xml:space="preserve">for so long as </w:t>
      </w:r>
      <w:r w:rsidR="00B7700F" w:rsidRPr="00B7700F">
        <w:t>Glenmark, Teva, Viatris, Sandoz and Bestway</w:t>
      </w:r>
      <w:r w:rsidR="00411D36">
        <w:t xml:space="preserve"> are enjoined</w:t>
      </w:r>
      <w:r w:rsidR="00E33C9A">
        <w:t>.</w:t>
      </w:r>
      <w:r w:rsidR="00B07E75">
        <w:t xml:space="preserve"> The reason for all this interest is not hard to discern</w:t>
      </w:r>
      <w:r w:rsidR="003F385B">
        <w:t>. D</w:t>
      </w:r>
      <w:r w:rsidR="00B07E75" w:rsidRPr="00B07E75">
        <w:t>apagliflozin</w:t>
      </w:r>
      <w:r w:rsidR="00B07E75">
        <w:t xml:space="preserve"> is currently </w:t>
      </w:r>
      <w:r w:rsidR="00B07E75" w:rsidRPr="00B07E75">
        <w:t>AstraZeneca</w:t>
      </w:r>
      <w:r w:rsidR="00B07E75">
        <w:t>’s biggest</w:t>
      </w:r>
      <w:r w:rsidR="0072334E">
        <w:t>-</w:t>
      </w:r>
      <w:r w:rsidR="00B07E75">
        <w:t xml:space="preserve">selling product in the UK. </w:t>
      </w:r>
      <w:r w:rsidR="00187A26">
        <w:t xml:space="preserve">The current sales volume is around 1 million packs per </w:t>
      </w:r>
      <w:r w:rsidR="00F2491E">
        <w:t>month,</w:t>
      </w:r>
      <w:r w:rsidR="00187A26">
        <w:t xml:space="preserve"> worth </w:t>
      </w:r>
      <w:r w:rsidR="003F31A0">
        <w:t>over</w:t>
      </w:r>
      <w:r w:rsidR="00187A26">
        <w:t xml:space="preserve"> £400 million</w:t>
      </w:r>
      <w:r w:rsidR="008F5A17">
        <w:t xml:space="preserve"> per annum</w:t>
      </w:r>
      <w:r w:rsidR="00187A26">
        <w:t>, and sales are increasing.</w:t>
      </w:r>
    </w:p>
    <w:p w14:paraId="29C6D256" w14:textId="77777777" w:rsidR="00666B24" w:rsidRDefault="00DC54D1" w:rsidP="00DF56A7">
      <w:pPr>
        <w:pStyle w:val="ParaLevel1"/>
      </w:pPr>
      <w:r>
        <w:t xml:space="preserve">It will be understood that, as at 16 July 2025, the status quo was that, by virtue of the </w:t>
      </w:r>
      <w:r w:rsidRPr="00DC54D1">
        <w:t>interim injunction</w:t>
      </w:r>
      <w:r>
        <w:t xml:space="preserve">s and undertakings previously granted or given, </w:t>
      </w:r>
      <w:r w:rsidR="00C21869" w:rsidRPr="00C21869">
        <w:t>AstraZeneca</w:t>
      </w:r>
      <w:r w:rsidR="00C21869">
        <w:t xml:space="preserve"> retained its monopoly of the </w:t>
      </w:r>
      <w:r w:rsidR="00C21869" w:rsidRPr="00C21869">
        <w:t>dapagliflozin</w:t>
      </w:r>
      <w:r w:rsidR="00C21869">
        <w:t xml:space="preserve"> market in the UK. </w:t>
      </w:r>
      <w:r w:rsidR="00AC5EBC">
        <w:t xml:space="preserve">Although </w:t>
      </w:r>
      <w:r w:rsidR="00AC5EBC" w:rsidRPr="00AC5EBC">
        <w:t>Glenmark, Teva, Viatris</w:t>
      </w:r>
      <w:r w:rsidR="00AC5EBC">
        <w:t xml:space="preserve"> and</w:t>
      </w:r>
      <w:r w:rsidR="00AC5EBC" w:rsidRPr="00AC5EBC">
        <w:t xml:space="preserve"> Sandoz</w:t>
      </w:r>
      <w:r w:rsidR="00AC5EBC">
        <w:t xml:space="preserve"> were all ready to launch generic </w:t>
      </w:r>
      <w:r w:rsidR="00AC5EBC" w:rsidRPr="00AC5EBC">
        <w:t>dapagliflozin</w:t>
      </w:r>
      <w:r w:rsidR="00AC5EBC">
        <w:t xml:space="preserve"> products</w:t>
      </w:r>
      <w:r w:rsidR="002B1555">
        <w:t>, they had been prevented from doing so.</w:t>
      </w:r>
    </w:p>
    <w:p w14:paraId="3CD348FA" w14:textId="6747C439" w:rsidR="00B96F80" w:rsidRDefault="00666B24" w:rsidP="00DF56A7">
      <w:pPr>
        <w:pStyle w:val="ParaLevel1"/>
      </w:pPr>
      <w:r>
        <w:t xml:space="preserve">The final point to note </w:t>
      </w:r>
      <w:r w:rsidR="00527354">
        <w:t xml:space="preserve">is </w:t>
      </w:r>
      <w:r>
        <w:t>that the evidence filed by both sides for the purposes of the present application was predicated upon th</w:t>
      </w:r>
      <w:r w:rsidR="003A662B">
        <w:t>e assumptions that</w:t>
      </w:r>
      <w:r w:rsidR="00801FA4">
        <w:t>:</w:t>
      </w:r>
      <w:r w:rsidR="003A662B">
        <w:t xml:space="preserve"> (i) determination by the Supreme Court of an application by </w:t>
      </w:r>
      <w:r w:rsidR="00801FA4" w:rsidRPr="00801FA4">
        <w:t>AstraZeneca</w:t>
      </w:r>
      <w:r w:rsidR="00801FA4">
        <w:t xml:space="preserve"> for permission to appeal would take </w:t>
      </w:r>
      <w:r w:rsidR="00801FA4">
        <w:lastRenderedPageBreak/>
        <w:t xml:space="preserve">between three and six months from 16 July 2025; and (ii) if permission were granted, determination of the appeal would take between 15 and 23 months from 16 </w:t>
      </w:r>
      <w:r w:rsidR="00917B20">
        <w:t>July 202</w:t>
      </w:r>
      <w:r w:rsidR="00527354">
        <w:t>5</w:t>
      </w:r>
      <w:r w:rsidR="00917B20">
        <w:t>.</w:t>
      </w:r>
      <w:r w:rsidR="00801FA4">
        <w:t xml:space="preserve"> </w:t>
      </w:r>
      <w:r w:rsidR="00DC54D1">
        <w:t xml:space="preserve"> </w:t>
      </w:r>
      <w:r w:rsidR="00187A26">
        <w:t xml:space="preserve"> </w:t>
      </w:r>
    </w:p>
    <w:p w14:paraId="5E299D38" w14:textId="64D0C2C4" w:rsidR="00C34625" w:rsidRPr="00C34625" w:rsidRDefault="00C34625" w:rsidP="00DF56A7">
      <w:pPr>
        <w:pStyle w:val="ParaHeading"/>
        <w:rPr>
          <w:u w:val="single"/>
        </w:rPr>
      </w:pPr>
      <w:r w:rsidRPr="00C34625">
        <w:rPr>
          <w:u w:val="single"/>
        </w:rPr>
        <w:t>Applicable principles</w:t>
      </w:r>
    </w:p>
    <w:p w14:paraId="64084E00" w14:textId="74E56E04" w:rsidR="000B1094" w:rsidRDefault="006A26AC" w:rsidP="00DF56A7">
      <w:pPr>
        <w:pStyle w:val="ParaLevel1"/>
      </w:pPr>
      <w:r>
        <w:t xml:space="preserve">Although this Court has dismissed </w:t>
      </w:r>
      <w:r w:rsidRPr="006A26AC">
        <w:t>AstraZeneca</w:t>
      </w:r>
      <w:r>
        <w:t>’s appeal</w:t>
      </w:r>
      <w:r w:rsidR="00AC01C6">
        <w:t xml:space="preserve">, there is no dispute that it </w:t>
      </w:r>
      <w:r w:rsidR="00571AED">
        <w:t>retains</w:t>
      </w:r>
      <w:r w:rsidR="00AC01C6">
        <w:t xml:space="preserve"> jurisdiction</w:t>
      </w:r>
      <w:r w:rsidR="001A3C04">
        <w:t>, as a court of equity</w:t>
      </w:r>
      <w:r w:rsidR="00571AED">
        <w:t>, to grant</w:t>
      </w:r>
      <w:r w:rsidR="00AC01C6">
        <w:t xml:space="preserve"> </w:t>
      </w:r>
      <w:r w:rsidR="00571AED">
        <w:t>an injunction where it is just and convenient to do so</w:t>
      </w:r>
      <w:r w:rsidR="007F2528">
        <w:t xml:space="preserve">, including an </w:t>
      </w:r>
      <w:r w:rsidR="00EB7FA4">
        <w:t xml:space="preserve">interim </w:t>
      </w:r>
      <w:r w:rsidR="007F2528">
        <w:t>injunction</w:t>
      </w:r>
      <w:r w:rsidR="00CE21D7">
        <w:t xml:space="preserve"> until</w:t>
      </w:r>
      <w:r w:rsidR="00EB7FA4">
        <w:t xml:space="preserve"> </w:t>
      </w:r>
      <w:r w:rsidR="008B43C6">
        <w:t xml:space="preserve">the determination of an appeal by </w:t>
      </w:r>
      <w:r w:rsidR="008B43C6" w:rsidRPr="008B43C6">
        <w:t>AstraZeneca</w:t>
      </w:r>
      <w:r w:rsidR="008B43C6">
        <w:t xml:space="preserve"> to </w:t>
      </w:r>
      <w:r w:rsidR="008B43C6" w:rsidRPr="008B43C6">
        <w:t>the Supreme Court</w:t>
      </w:r>
      <w:r w:rsidR="001A17C8">
        <w:t>,</w:t>
      </w:r>
      <w:r w:rsidR="008B43C6">
        <w:t xml:space="preserve"> or, failing that, an </w:t>
      </w:r>
      <w:r w:rsidR="008B564D">
        <w:t xml:space="preserve">application by </w:t>
      </w:r>
      <w:r w:rsidR="008B564D" w:rsidRPr="008B564D">
        <w:t>AstraZeneca</w:t>
      </w:r>
      <w:r w:rsidR="008B564D">
        <w:t xml:space="preserve"> to </w:t>
      </w:r>
      <w:r w:rsidR="008B564D" w:rsidRPr="008B564D">
        <w:t>the Supreme Court</w:t>
      </w:r>
      <w:r w:rsidR="008B564D">
        <w:t xml:space="preserve"> for permission to appeal, or</w:t>
      </w:r>
      <w:r w:rsidR="00CE21D7">
        <w:t xml:space="preserve">, failing that, an application by </w:t>
      </w:r>
      <w:r w:rsidR="00CE21D7" w:rsidRPr="00CE21D7">
        <w:t>AstraZeneca</w:t>
      </w:r>
      <w:r w:rsidR="00CE21D7">
        <w:t xml:space="preserve"> to </w:t>
      </w:r>
      <w:r w:rsidR="00CE21D7" w:rsidRPr="00CE21D7">
        <w:t>the Supreme Court</w:t>
      </w:r>
      <w:r w:rsidR="00CE21D7">
        <w:t xml:space="preserve"> for </w:t>
      </w:r>
      <w:r w:rsidR="00EB18DF">
        <w:t xml:space="preserve">an interim </w:t>
      </w:r>
      <w:r w:rsidR="00E42259">
        <w:t>in</w:t>
      </w:r>
      <w:r w:rsidR="00EB18DF">
        <w:t>junction pending the determination of its application for permission to appeal.</w:t>
      </w:r>
    </w:p>
    <w:p w14:paraId="2E33E00B" w14:textId="2C69339A" w:rsidR="003C10DF" w:rsidRDefault="000B1094" w:rsidP="00DF56A7">
      <w:pPr>
        <w:pStyle w:val="ParaLevel1"/>
      </w:pPr>
      <w:r>
        <w:t xml:space="preserve">Although we are concerned with a </w:t>
      </w:r>
      <w:r w:rsidR="000D40E5">
        <w:t xml:space="preserve">prospective appeal </w:t>
      </w:r>
      <w:r w:rsidR="00B24ECD">
        <w:t xml:space="preserve">from this Court </w:t>
      </w:r>
      <w:r w:rsidR="000D40E5">
        <w:t xml:space="preserve">to the Supreme Court, </w:t>
      </w:r>
      <w:r w:rsidR="0061768A">
        <w:t>I consider</w:t>
      </w:r>
      <w:r w:rsidR="000D40E5">
        <w:t xml:space="preserve"> that the applicable principles mirror those which </w:t>
      </w:r>
      <w:r w:rsidR="00220F41">
        <w:t xml:space="preserve">apply </w:t>
      </w:r>
      <w:r w:rsidR="00B24ECD">
        <w:t>to an appeal from the High Court</w:t>
      </w:r>
      <w:r w:rsidR="00846445">
        <w:t xml:space="preserve"> to this Court. The fundamental principle is that </w:t>
      </w:r>
      <w:r w:rsidR="00465810">
        <w:t xml:space="preserve">the </w:t>
      </w:r>
      <w:r w:rsidR="00E11143">
        <w:t>c</w:t>
      </w:r>
      <w:r w:rsidR="00465810">
        <w:t xml:space="preserve">ourt should, </w:t>
      </w:r>
      <w:r w:rsidR="00037C71">
        <w:t>as</w:t>
      </w:r>
      <w:r w:rsidR="00465810">
        <w:t xml:space="preserve"> far as possible, </w:t>
      </w:r>
      <w:r w:rsidR="00037C71">
        <w:t>“so arrange matters that</w:t>
      </w:r>
      <w:r w:rsidR="00C83777">
        <w:t xml:space="preserve">, [if and] when the appeal comes to be heard, the appellate court may be able to do justice between the parties”: </w:t>
      </w:r>
      <w:r w:rsidR="00251E44" w:rsidRPr="00B223BB">
        <w:rPr>
          <w:i/>
          <w:iCs/>
        </w:rPr>
        <w:t xml:space="preserve">Minnesota Mining and Manufacturing </w:t>
      </w:r>
      <w:r w:rsidR="00AD4DB8" w:rsidRPr="00B223BB">
        <w:rPr>
          <w:i/>
          <w:iCs/>
        </w:rPr>
        <w:t xml:space="preserve">Co v Johnson &amp; Johnson Ltd </w:t>
      </w:r>
      <w:r w:rsidR="00AD4DB8">
        <w:t>[1976] RPC 671 at 676 (Buckley LJ</w:t>
      </w:r>
      <w:r w:rsidR="00B223BB">
        <w:t>, my interpolation).</w:t>
      </w:r>
    </w:p>
    <w:p w14:paraId="3CDD7058" w14:textId="77777777" w:rsidR="0028600D" w:rsidRDefault="003C10DF" w:rsidP="00DF56A7">
      <w:pPr>
        <w:pStyle w:val="ParaLevel1"/>
      </w:pPr>
      <w:r w:rsidRPr="0028600D">
        <w:t xml:space="preserve">In </w:t>
      </w:r>
      <w:r w:rsidRPr="0028600D">
        <w:rPr>
          <w:i/>
          <w:iCs/>
        </w:rPr>
        <w:t xml:space="preserve">Novartis AG v Hospira </w:t>
      </w:r>
      <w:r w:rsidR="005C2D7E" w:rsidRPr="0028600D">
        <w:rPr>
          <w:i/>
          <w:iCs/>
        </w:rPr>
        <w:t>UK Ltd</w:t>
      </w:r>
      <w:r w:rsidR="005C2D7E" w:rsidRPr="0028600D">
        <w:t xml:space="preserve"> [</w:t>
      </w:r>
      <w:r w:rsidR="0028600D" w:rsidRPr="0028600D">
        <w:t>2013] EWCA Civ 583, [2014] 1 WL</w:t>
      </w:r>
      <w:r w:rsidR="0028600D">
        <w:t>R 1264, Floyd LJ said at [41]:</w:t>
      </w:r>
    </w:p>
    <w:p w14:paraId="1B791E36" w14:textId="56889A2E" w:rsidR="0028600D" w:rsidRDefault="0028600D" w:rsidP="00DF56A7">
      <w:pPr>
        <w:pStyle w:val="Quote"/>
      </w:pPr>
      <w:r>
        <w:t>“</w:t>
      </w:r>
      <w:r w:rsidR="0003611D" w:rsidRPr="0003611D">
        <w:t>I would summarise the principles which apply to the grant of an interim injunction pending appeal where the claimant has lost at first instance as follows. (1) The court must be satisfied that the appeal has a real prospect of success. (2) If the court is satisfied that there is a real prospect of success on appeal, it will not usually be useful to attempt to form a view as to how much stronger the prospects of appeal are, or to attempt to give weight to that view in assessing the balance of convenience. (3) It does not follow automatically from the fact that an interim injunction has or would have been granted pre-trial that an injunction pending appeal should be granted. The court must assess all the relevant circumstances following judgment, including the period of time before any appeal is likely to be heard and the balance of hardship to each party if an injunction is refused or granted. (4) The grant of an injunction is not limited to the case where its refusal would render an appeal nugatory. Such a case merely represents the extreme end of a spectrum of possible factual situations in which the injustice to one side is balanced against the injustice to the other. (5) As in the case of the stay of a permanent injunction which would otherwise be granted to a successful claimant, the court should endeavour to arrange matters so that the Court of Appeal is best able to do justice between the parties once the appeal has been heard.</w:t>
      </w:r>
      <w:r>
        <w:t>”</w:t>
      </w:r>
    </w:p>
    <w:p w14:paraId="1B6613FB" w14:textId="6B5594E0" w:rsidR="003B36F6" w:rsidRDefault="00FB3182" w:rsidP="00DF56A7">
      <w:pPr>
        <w:pStyle w:val="ParaLevel1"/>
      </w:pPr>
      <w:r>
        <w:t>Although Floyd LJ did not say so in this paragraph, it can be seen fro</w:t>
      </w:r>
      <w:r w:rsidR="003C45A7">
        <w:t xml:space="preserve">m his reasoning in the rest of </w:t>
      </w:r>
      <w:r w:rsidR="00CB7515">
        <w:t xml:space="preserve">his </w:t>
      </w:r>
      <w:r w:rsidR="003C45A7">
        <w:t>ju</w:t>
      </w:r>
      <w:r w:rsidR="00CB7515">
        <w:t>d</w:t>
      </w:r>
      <w:r w:rsidR="003C45A7">
        <w:t xml:space="preserve">gment, and </w:t>
      </w:r>
      <w:r w:rsidR="00CB7515">
        <w:t xml:space="preserve">from the cases to which he referred, that, in considering </w:t>
      </w:r>
      <w:r w:rsidR="00E11143">
        <w:t>“the balance of hardship”</w:t>
      </w:r>
      <w:r w:rsidR="009A0399">
        <w:t xml:space="preserve"> in cases of this kind</w:t>
      </w:r>
      <w:r w:rsidR="00E11143">
        <w:t xml:space="preserve">, the court should </w:t>
      </w:r>
      <w:r w:rsidR="004D1ECA">
        <w:t xml:space="preserve">normally adopt the </w:t>
      </w:r>
      <w:r w:rsidR="004D1ECA">
        <w:lastRenderedPageBreak/>
        <w:t xml:space="preserve">approach set out by Lord Diplock in </w:t>
      </w:r>
      <w:r w:rsidR="00785736" w:rsidRPr="00785736">
        <w:rPr>
          <w:i/>
          <w:iCs/>
        </w:rPr>
        <w:t>American Cyanamid Co v Ethicon Ltd</w:t>
      </w:r>
      <w:r w:rsidR="00785736" w:rsidRPr="00785736">
        <w:t> [1975] AC 396 at 407G-409D</w:t>
      </w:r>
      <w:r w:rsidR="009860AA">
        <w:t>. I discussed this</w:t>
      </w:r>
      <w:r w:rsidR="003B1711">
        <w:t xml:space="preserve">, and its application to </w:t>
      </w:r>
      <w:r w:rsidR="009C25B1">
        <w:t xml:space="preserve">cases concerning pharmaceutical patents, </w:t>
      </w:r>
      <w:r w:rsidR="009860AA">
        <w:t xml:space="preserve">in my judgment of 16 </w:t>
      </w:r>
      <w:r w:rsidR="00D94507">
        <w:t>April</w:t>
      </w:r>
      <w:r w:rsidR="009860AA">
        <w:t xml:space="preserve"> 2025 at [</w:t>
      </w:r>
      <w:r w:rsidR="003B1711">
        <w:t>18]-</w:t>
      </w:r>
      <w:r w:rsidR="003B36F6">
        <w:t>[36].</w:t>
      </w:r>
    </w:p>
    <w:p w14:paraId="44BA2E2B" w14:textId="73DDCF34" w:rsidR="0037122D" w:rsidRPr="0037122D" w:rsidRDefault="0037122D" w:rsidP="00DF56A7">
      <w:pPr>
        <w:pStyle w:val="ParaHeading"/>
        <w:rPr>
          <w:u w:val="single"/>
        </w:rPr>
      </w:pPr>
      <w:r w:rsidRPr="0037122D">
        <w:rPr>
          <w:u w:val="single"/>
        </w:rPr>
        <w:t>Application to the present case</w:t>
      </w:r>
    </w:p>
    <w:p w14:paraId="5D3252B1" w14:textId="77777777" w:rsidR="00F376CB" w:rsidRDefault="007A159D" w:rsidP="00DF56A7">
      <w:pPr>
        <w:pStyle w:val="ParaLevel1"/>
      </w:pPr>
      <w:r>
        <w:t xml:space="preserve">In my judgment </w:t>
      </w:r>
      <w:r w:rsidRPr="007A159D">
        <w:t>AstraZeneca</w:t>
      </w:r>
      <w:r>
        <w:t xml:space="preserve">’s application for </w:t>
      </w:r>
      <w:r w:rsidRPr="007A159D">
        <w:t>an interim injunction</w:t>
      </w:r>
      <w:r>
        <w:t xml:space="preserve"> pending the determination of </w:t>
      </w:r>
      <w:r w:rsidR="00AA04BB">
        <w:t xml:space="preserve">an appeal to </w:t>
      </w:r>
      <w:r w:rsidR="00AA04BB" w:rsidRPr="00AA04BB">
        <w:t>the Supreme Court</w:t>
      </w:r>
      <w:r w:rsidR="00AA04BB">
        <w:t xml:space="preserve"> should be refused because an appeal has no real prospect of success</w:t>
      </w:r>
      <w:r w:rsidR="0011288B">
        <w:t xml:space="preserve">, and its application for </w:t>
      </w:r>
      <w:r w:rsidR="0011288B" w:rsidRPr="0011288B">
        <w:t>an interim injunction</w:t>
      </w:r>
      <w:r w:rsidR="0011288B">
        <w:t xml:space="preserve"> pending the determination of an application</w:t>
      </w:r>
      <w:r w:rsidR="009A63D1">
        <w:t xml:space="preserve"> to </w:t>
      </w:r>
      <w:r w:rsidR="009A63D1" w:rsidRPr="009A63D1">
        <w:t xml:space="preserve">the Supreme Court </w:t>
      </w:r>
      <w:r w:rsidR="009A63D1">
        <w:t>for permission to appeal should be refused because</w:t>
      </w:r>
      <w:r w:rsidR="0042131E">
        <w:t xml:space="preserve"> that application has no real prospect of success. </w:t>
      </w:r>
      <w:r w:rsidR="00A644C9">
        <w:t xml:space="preserve">As stated above, there is no arguable point of law that would enable </w:t>
      </w:r>
      <w:r w:rsidR="00A644C9" w:rsidRPr="00A644C9">
        <w:t>AstraZeneca</w:t>
      </w:r>
      <w:r w:rsidR="00A644C9">
        <w:t xml:space="preserve"> to succeed on an appeal. </w:t>
      </w:r>
      <w:r w:rsidR="004C18EF">
        <w:t xml:space="preserve">Even if </w:t>
      </w:r>
      <w:r w:rsidR="004C18EF" w:rsidRPr="004C18EF">
        <w:t>AstraZeneca</w:t>
      </w:r>
      <w:r w:rsidR="004C18EF">
        <w:t xml:space="preserve"> were able to persuade the Supreme Court that the correct standard for plausibility is the “</w:t>
      </w:r>
      <w:r w:rsidR="004C18EF" w:rsidRPr="00EF56D6">
        <w:rPr>
          <w:i/>
          <w:iCs/>
        </w:rPr>
        <w:t>ab initio</w:t>
      </w:r>
      <w:r w:rsidR="004C18EF">
        <w:t xml:space="preserve"> implausibility</w:t>
      </w:r>
      <w:r w:rsidR="003856CD">
        <w:t xml:space="preserve">” standard, that would not avail </w:t>
      </w:r>
      <w:r w:rsidR="003856CD" w:rsidRPr="003856CD">
        <w:t>AstraZeneca</w:t>
      </w:r>
      <w:r w:rsidR="003856CD">
        <w:t xml:space="preserve"> because the Patent does not satisfy even that standard. Furthermore, </w:t>
      </w:r>
      <w:r w:rsidR="00982B63">
        <w:t>arbitrary selection is an independent objection to the validity of the Patent</w:t>
      </w:r>
      <w:r w:rsidR="00387B61">
        <w:t>. Dr Tappin KC held that the Patent was invalid for that reason applying established principles, and this Court has affirmed that decision.</w:t>
      </w:r>
    </w:p>
    <w:p w14:paraId="150B2161" w14:textId="3A0C84CF" w:rsidR="001D3830" w:rsidRDefault="00F376CB" w:rsidP="00DF56A7">
      <w:pPr>
        <w:pStyle w:val="ParaLevel1"/>
      </w:pPr>
      <w:r>
        <w:t xml:space="preserve">Because there is no real prospect of success, which in this context equates to </w:t>
      </w:r>
      <w:r w:rsidR="00917B20">
        <w:t>there being no</w:t>
      </w:r>
      <w:r>
        <w:t xml:space="preserve"> </w:t>
      </w:r>
      <w:r w:rsidR="00D444B4">
        <w:t xml:space="preserve">serious issue to be tried for the purposes of the </w:t>
      </w:r>
      <w:r w:rsidR="00D444B4" w:rsidRPr="001D3830">
        <w:rPr>
          <w:i/>
          <w:iCs/>
        </w:rPr>
        <w:t>American Cyanamid</w:t>
      </w:r>
      <w:r w:rsidR="00D444B4">
        <w:t xml:space="preserve"> approach, it is not necessary to consider the rival arguments on adequacy of damages</w:t>
      </w:r>
      <w:r w:rsidR="005B0E84">
        <w:t xml:space="preserve"> or on the </w:t>
      </w:r>
      <w:r w:rsidR="000B1B41">
        <w:t xml:space="preserve">overall </w:t>
      </w:r>
      <w:r w:rsidR="005B0E84">
        <w:t>balance of the risk of injustice.</w:t>
      </w:r>
    </w:p>
    <w:p w14:paraId="227050F8" w14:textId="1E4B76A3" w:rsidR="0088042B" w:rsidRDefault="001D3830" w:rsidP="00DF56A7">
      <w:pPr>
        <w:pStyle w:val="ParaLevel1"/>
      </w:pPr>
      <w:r>
        <w:t xml:space="preserve">Although I would refuse </w:t>
      </w:r>
      <w:r w:rsidRPr="001D3830">
        <w:t>AstraZeneca</w:t>
      </w:r>
      <w:r>
        <w:t xml:space="preserve">’s application for the reasons given in paragraph </w:t>
      </w:r>
      <w:r w:rsidR="00383115">
        <w:t>20</w:t>
      </w:r>
      <w:r>
        <w:t xml:space="preserve"> above, that is not the end of the matter. This Court must allow for the possibility that </w:t>
      </w:r>
      <w:r w:rsidR="00B04B1D">
        <w:t xml:space="preserve">we are mistaken in our assessment of </w:t>
      </w:r>
      <w:r w:rsidR="00B04B1D" w:rsidRPr="00B04B1D">
        <w:t>AstraZeneca</w:t>
      </w:r>
      <w:r w:rsidR="00B04B1D">
        <w:t>’s prospects of success, and in particular its prospects of success</w:t>
      </w:r>
      <w:r w:rsidR="004A33DB">
        <w:t xml:space="preserve"> in obtaining permission to appeal </w:t>
      </w:r>
      <w:r w:rsidR="00BD4E1F">
        <w:t>from</w:t>
      </w:r>
      <w:r w:rsidR="004A33DB">
        <w:t xml:space="preserve"> the Supreme Court. </w:t>
      </w:r>
      <w:r w:rsidR="00743792">
        <w:t xml:space="preserve">In my judgment </w:t>
      </w:r>
      <w:r w:rsidR="000C42F0">
        <w:t xml:space="preserve">it is just and convenient to grant </w:t>
      </w:r>
      <w:r w:rsidR="000C42F0" w:rsidRPr="000C42F0">
        <w:t>AstraZeneca</w:t>
      </w:r>
      <w:r w:rsidR="000C42F0">
        <w:t xml:space="preserve"> </w:t>
      </w:r>
      <w:r w:rsidR="000C42F0" w:rsidRPr="000C42F0">
        <w:t>an interim injunction</w:t>
      </w:r>
      <w:r w:rsidR="000C42F0">
        <w:t xml:space="preserve"> for a </w:t>
      </w:r>
      <w:r w:rsidR="00B517EE">
        <w:t xml:space="preserve">period of 14 days to enable </w:t>
      </w:r>
      <w:r w:rsidR="00B517EE" w:rsidRPr="00B517EE">
        <w:t>AstraZeneca</w:t>
      </w:r>
      <w:r w:rsidR="00B517EE">
        <w:t xml:space="preserve"> to make an urgent application to </w:t>
      </w:r>
      <w:r w:rsidR="00B517EE" w:rsidRPr="00B517EE">
        <w:t>the Supreme Court</w:t>
      </w:r>
      <w:r w:rsidR="00B517EE">
        <w:t xml:space="preserve">. </w:t>
      </w:r>
      <w:r w:rsidR="00293A5E">
        <w:t>Not only is t</w:t>
      </w:r>
      <w:r w:rsidR="00293A5E" w:rsidRPr="00293A5E">
        <w:t>he Supreme Court</w:t>
      </w:r>
      <w:r w:rsidR="00293A5E">
        <w:t xml:space="preserve"> best placed to determine whether </w:t>
      </w:r>
      <w:r w:rsidR="00293A5E" w:rsidRPr="00293A5E">
        <w:t>AstraZeneca</w:t>
      </w:r>
      <w:r w:rsidR="00293A5E">
        <w:t>’s application for permission to appeal has a</w:t>
      </w:r>
      <w:r w:rsidR="00383115">
        <w:t xml:space="preserve"> real</w:t>
      </w:r>
      <w:r w:rsidR="00293A5E">
        <w:t xml:space="preserve"> prospect of success, but also </w:t>
      </w:r>
      <w:r w:rsidR="00B219DC">
        <w:t xml:space="preserve">the Supreme Court alone has power to decide whether expedition </w:t>
      </w:r>
      <w:r w:rsidR="001C01EE">
        <w:t xml:space="preserve">of the application </w:t>
      </w:r>
      <w:r w:rsidR="00B219DC">
        <w:t>is warranted</w:t>
      </w:r>
      <w:r w:rsidR="001C01EE">
        <w:t xml:space="preserve">, and if so what measure of expedition should be </w:t>
      </w:r>
      <w:r w:rsidR="00D21EFC">
        <w:t>applied</w:t>
      </w:r>
      <w:r w:rsidR="001C01EE">
        <w:t>.</w:t>
      </w:r>
    </w:p>
    <w:p w14:paraId="7219715C" w14:textId="6DB72B37" w:rsidR="00937D2C" w:rsidRDefault="0088042B" w:rsidP="00DF56A7">
      <w:pPr>
        <w:pStyle w:val="ParaLevel1"/>
      </w:pPr>
      <w:r w:rsidRPr="0088042B">
        <w:t>Glenmark, Teva, Viatris, Sandoz and Bestway</w:t>
      </w:r>
      <w:r>
        <w:t xml:space="preserve"> argued that </w:t>
      </w:r>
      <w:r w:rsidR="00D920C5">
        <w:t>no</w:t>
      </w:r>
      <w:r w:rsidR="00D920C5" w:rsidRPr="00D920C5">
        <w:t xml:space="preserve"> </w:t>
      </w:r>
      <w:r w:rsidR="00D920C5">
        <w:t xml:space="preserve">interim </w:t>
      </w:r>
      <w:r w:rsidR="00D920C5" w:rsidRPr="00D920C5">
        <w:t>injunction</w:t>
      </w:r>
      <w:r w:rsidR="00D920C5">
        <w:t xml:space="preserve"> should be granted, even for so short a period</w:t>
      </w:r>
      <w:r w:rsidR="00C30D17">
        <w:t xml:space="preserve"> as 14 days, because</w:t>
      </w:r>
      <w:r w:rsidR="006A5827">
        <w:t>:</w:t>
      </w:r>
      <w:r w:rsidR="00C30D17">
        <w:t xml:space="preserve"> (i) damages would be an adequate remedy for </w:t>
      </w:r>
      <w:r w:rsidR="00C30D17" w:rsidRPr="00C30D17">
        <w:t>AstraZeneca</w:t>
      </w:r>
      <w:r w:rsidR="006A5827">
        <w:t>;</w:t>
      </w:r>
      <w:r w:rsidR="00C30D17">
        <w:t xml:space="preserve"> (ii) even if they would not, damages would be an even less </w:t>
      </w:r>
      <w:r w:rsidR="006A5827">
        <w:t xml:space="preserve">adequate remedy for </w:t>
      </w:r>
      <w:r w:rsidR="006A5827" w:rsidRPr="006A5827">
        <w:t>Glenmark, Teva, Viatris, Sandoz and Bestway</w:t>
      </w:r>
      <w:r w:rsidR="007458A2">
        <w:t xml:space="preserve">; and (iii) the </w:t>
      </w:r>
      <w:r w:rsidR="00D916F7">
        <w:t xml:space="preserve">overall </w:t>
      </w:r>
      <w:r w:rsidR="007458A2">
        <w:t>balance of the risk of injustice</w:t>
      </w:r>
      <w:r w:rsidR="00937D2C">
        <w:t xml:space="preserve"> favoured refusal of an injunction.</w:t>
      </w:r>
    </w:p>
    <w:p w14:paraId="2A459F7B" w14:textId="0E5B8C05" w:rsidR="00FF7BDE" w:rsidRDefault="003D244E" w:rsidP="00DF56A7">
      <w:pPr>
        <w:pStyle w:val="ParaLevel1"/>
      </w:pPr>
      <w:r>
        <w:t xml:space="preserve">We declined to hear full </w:t>
      </w:r>
      <w:r w:rsidR="00B07542">
        <w:t xml:space="preserve">oral </w:t>
      </w:r>
      <w:r>
        <w:t xml:space="preserve">argument on </w:t>
      </w:r>
      <w:r w:rsidR="00CD4FA8">
        <w:t>points</w:t>
      </w:r>
      <w:r w:rsidR="00557A7A">
        <w:t xml:space="preserve"> (i) and (ii)</w:t>
      </w:r>
      <w:r w:rsidR="00B07542">
        <w:t>.</w:t>
      </w:r>
      <w:r w:rsidR="00C82DA5">
        <w:t xml:space="preserve"> My reasons for taking that course are as follows. First,</w:t>
      </w:r>
      <w:r w:rsidR="00665A91">
        <w:t xml:space="preserve"> none of the evidence</w:t>
      </w:r>
      <w:r w:rsidR="00023125">
        <w:t xml:space="preserve"> (</w:t>
      </w:r>
      <w:r w:rsidR="00665A91">
        <w:t>or</w:t>
      </w:r>
      <w:r w:rsidR="00023125">
        <w:t>, consequentially,</w:t>
      </w:r>
      <w:r w:rsidR="00665A91">
        <w:t xml:space="preserve"> the arguments in the parties’ skeleton arguments</w:t>
      </w:r>
      <w:r w:rsidR="0002634B">
        <w:t>)</w:t>
      </w:r>
      <w:r w:rsidR="005367A6">
        <w:t xml:space="preserve"> addressed this time period. </w:t>
      </w:r>
      <w:r w:rsidR="005367A6" w:rsidRPr="005367A6">
        <w:t>Glenmark, Teva, Viatris, Sandoz and Bestway</w:t>
      </w:r>
      <w:r w:rsidR="005367A6">
        <w:t xml:space="preserve"> argued that this </w:t>
      </w:r>
      <w:r w:rsidR="004C460D">
        <w:t>necessarily</w:t>
      </w:r>
      <w:r w:rsidR="005367A6">
        <w:t xml:space="preserve"> meant that </w:t>
      </w:r>
      <w:r w:rsidR="005367A6" w:rsidRPr="005367A6">
        <w:t>AstraZeneca</w:t>
      </w:r>
      <w:r w:rsidR="005367A6">
        <w:t xml:space="preserve"> must fail, because it </w:t>
      </w:r>
      <w:r w:rsidR="007457B3">
        <w:t>had failed to address this possibility in its evidence.</w:t>
      </w:r>
      <w:r w:rsidR="00767EBF">
        <w:t xml:space="preserve"> I disagree, because the blind spot was common to all parties.</w:t>
      </w:r>
      <w:r w:rsidR="00FF7BDE">
        <w:t xml:space="preserve"> Furthermore, it </w:t>
      </w:r>
      <w:r w:rsidR="0099429B">
        <w:t xml:space="preserve">is doubtful that </w:t>
      </w:r>
      <w:r w:rsidR="00FF7BDE">
        <w:t xml:space="preserve">it would realistically </w:t>
      </w:r>
      <w:r w:rsidR="00AA2629">
        <w:t xml:space="preserve">have </w:t>
      </w:r>
      <w:r w:rsidR="00FF7BDE">
        <w:t>be</w:t>
      </w:r>
      <w:r w:rsidR="00AA2629">
        <w:t>en</w:t>
      </w:r>
      <w:r w:rsidR="00FF7BDE">
        <w:t xml:space="preserve"> possible for the parties to </w:t>
      </w:r>
      <w:r w:rsidR="008B6E8A">
        <w:t>produce</w:t>
      </w:r>
      <w:r w:rsidR="00F34C19">
        <w:t xml:space="preserve"> </w:t>
      </w:r>
      <w:r w:rsidR="008B6E8A">
        <w:t xml:space="preserve">robust </w:t>
      </w:r>
      <w:r w:rsidR="00F34C19">
        <w:t xml:space="preserve">evidence as to the likely effects of the grant or refusal of </w:t>
      </w:r>
      <w:r w:rsidR="004935C7">
        <w:t>an injunction for such a short period of time.</w:t>
      </w:r>
      <w:r w:rsidR="00F34C19">
        <w:t xml:space="preserve"> </w:t>
      </w:r>
    </w:p>
    <w:p w14:paraId="24ECAC63" w14:textId="2B5CE2F4" w:rsidR="00933E25" w:rsidRDefault="00EB1E18" w:rsidP="00DF56A7">
      <w:pPr>
        <w:pStyle w:val="ParaLevel1"/>
      </w:pPr>
      <w:r>
        <w:lastRenderedPageBreak/>
        <w:t xml:space="preserve">Secondly, and </w:t>
      </w:r>
      <w:r w:rsidR="00DC3642">
        <w:t>perhaps more importantly</w:t>
      </w:r>
      <w:r>
        <w:t xml:space="preserve">, I do not consider that it is appropriate </w:t>
      </w:r>
      <w:r w:rsidR="007D1695">
        <w:t xml:space="preserve">for this Court to undertake the exercise urged upon it by </w:t>
      </w:r>
      <w:r w:rsidR="007D1695" w:rsidRPr="007D1695">
        <w:t>Glenmark, Teva, Viatris, Sandoz and Bestway</w:t>
      </w:r>
      <w:r w:rsidR="002C1504">
        <w:t xml:space="preserve"> in any event</w:t>
      </w:r>
      <w:r w:rsidR="007D1695">
        <w:t xml:space="preserve">. </w:t>
      </w:r>
      <w:r w:rsidR="00C808A0">
        <w:t xml:space="preserve">In granting an injunction for 14 days, </w:t>
      </w:r>
      <w:r w:rsidR="00D2541F">
        <w:t xml:space="preserve">this Court is doing no more than preserving the status quo for a short further period </w:t>
      </w:r>
      <w:r w:rsidR="00664FFD">
        <w:t>in</w:t>
      </w:r>
      <w:r w:rsidR="004C112F">
        <w:t xml:space="preserve"> order to enable </w:t>
      </w:r>
      <w:r w:rsidR="004C112F" w:rsidRPr="004C112F">
        <w:t>the Supreme Court</w:t>
      </w:r>
      <w:r w:rsidR="004C112F">
        <w:t xml:space="preserve"> to </w:t>
      </w:r>
      <w:r w:rsidR="0098773B">
        <w:t xml:space="preserve">make whatever order it deems just and convenient. </w:t>
      </w:r>
      <w:r w:rsidR="00D916F7">
        <w:t>As at 9 April 2025 this Court, and as at 28 May 2025 Judge Hacon, considered that the balance of the risk of injustice</w:t>
      </w:r>
      <w:r w:rsidR="002708C1">
        <w:t xml:space="preserve"> favoured the grant of </w:t>
      </w:r>
      <w:r w:rsidR="002708C1" w:rsidRPr="002708C1">
        <w:t>interim injunction</w:t>
      </w:r>
      <w:r w:rsidR="002708C1">
        <w:t xml:space="preserve">s. It can be seen from both judgments that an important factor </w:t>
      </w:r>
      <w:r w:rsidR="008026E1">
        <w:t>was preservation of the status</w:t>
      </w:r>
      <w:r w:rsidR="00A537F7">
        <w:t xml:space="preserve"> quo</w:t>
      </w:r>
      <w:r w:rsidR="008026E1">
        <w:t>.</w:t>
      </w:r>
      <w:r w:rsidR="00A537F7">
        <w:t xml:space="preserve"> If the hearing of the substantive appeal had been listed only seven days later than it was, and if the preparation of the </w:t>
      </w:r>
      <w:r w:rsidR="00856469">
        <w:t>judgments following that hearing had taken only seven days longer than it did, the injunction granted by Judge Hacon would have run for 14 days longer</w:t>
      </w:r>
      <w:r w:rsidR="00BA76DC">
        <w:t xml:space="preserve"> than it </w:t>
      </w:r>
      <w:r w:rsidR="00BF3BE5">
        <w:t xml:space="preserve">in fact </w:t>
      </w:r>
      <w:r w:rsidR="00BA76DC">
        <w:t xml:space="preserve">did. </w:t>
      </w:r>
      <w:r w:rsidR="009F0937">
        <w:t xml:space="preserve">In these circumstances the decision to </w:t>
      </w:r>
      <w:r w:rsidR="001A609B">
        <w:t xml:space="preserve">grant </w:t>
      </w:r>
      <w:r w:rsidR="001A609B" w:rsidRPr="001A609B">
        <w:t>AstraZeneca</w:t>
      </w:r>
      <w:r w:rsidR="001A609B">
        <w:t xml:space="preserve"> an injunction for a further 14 days cannot </w:t>
      </w:r>
      <w:r w:rsidR="009561A3">
        <w:t>require the determination of highly contested</w:t>
      </w:r>
      <w:r w:rsidR="004B05ED">
        <w:t xml:space="preserve"> issues as to adequacy of damages</w:t>
      </w:r>
      <w:r w:rsidR="00B23412">
        <w:t>, particularly in circumstances w</w:t>
      </w:r>
      <w:r w:rsidR="00DC3642">
        <w:t>h</w:t>
      </w:r>
      <w:r w:rsidR="00B23412">
        <w:t xml:space="preserve">ere the evidence is insufficiently </w:t>
      </w:r>
      <w:r w:rsidR="008778CD">
        <w:t xml:space="preserve">granular to enable any </w:t>
      </w:r>
      <w:r w:rsidR="00A32B26">
        <w:t>realistic</w:t>
      </w:r>
      <w:r w:rsidR="008778CD">
        <w:t xml:space="preserve"> assessment to be made </w:t>
      </w:r>
      <w:r w:rsidR="00222916">
        <w:t>of</w:t>
      </w:r>
      <w:r w:rsidR="00AD2E18">
        <w:t xml:space="preserve"> </w:t>
      </w:r>
      <w:r w:rsidR="00804658">
        <w:t xml:space="preserve">whether the effects contended for on either side will manifest themselves over </w:t>
      </w:r>
      <w:r w:rsidR="005A0A50">
        <w:t xml:space="preserve">so </w:t>
      </w:r>
      <w:r w:rsidR="00804658">
        <w:t>short</w:t>
      </w:r>
      <w:r w:rsidR="00222916">
        <w:t xml:space="preserve"> a period</w:t>
      </w:r>
      <w:r w:rsidR="004B05ED">
        <w:t>.</w:t>
      </w:r>
      <w:r w:rsidR="005545A5">
        <w:t xml:space="preserve"> Accordingly, the overriding consideration must be to hold the ring by preserving the status quo for a further 14 days</w:t>
      </w:r>
      <w:r w:rsidR="00BF3434">
        <w:t xml:space="preserve"> to enable </w:t>
      </w:r>
      <w:r w:rsidR="00BF3434" w:rsidRPr="00BF3434">
        <w:t>the Supreme Court</w:t>
      </w:r>
      <w:r w:rsidR="0064728A">
        <w:t xml:space="preserve"> to make whatever order it considers just and convenient</w:t>
      </w:r>
      <w:r w:rsidR="005545A5">
        <w:t>.</w:t>
      </w:r>
    </w:p>
    <w:p w14:paraId="3E9FFE0A" w14:textId="7A652EB0" w:rsidR="00CD4FA8" w:rsidRDefault="00CD4FA8" w:rsidP="00DF56A7">
      <w:pPr>
        <w:pStyle w:val="ParaLevel1"/>
      </w:pPr>
      <w:r>
        <w:t xml:space="preserve">As for point (iii), </w:t>
      </w:r>
      <w:r w:rsidRPr="00CD4FA8">
        <w:t>Glenmark, Teva, Viatris, Sandoz and Bestway</w:t>
      </w:r>
      <w:r>
        <w:t xml:space="preserve"> relied upon </w:t>
      </w:r>
      <w:r w:rsidR="000866F5">
        <w:t>the relative merits of the parties’ cases</w:t>
      </w:r>
      <w:r w:rsidR="002B0EA9">
        <w:t xml:space="preserve">, and in </w:t>
      </w:r>
      <w:r w:rsidR="006D2AB9">
        <w:t xml:space="preserve">particular the fact that </w:t>
      </w:r>
      <w:r w:rsidR="006D2AB9" w:rsidRPr="006D2AB9">
        <w:t>AstraZeneca</w:t>
      </w:r>
      <w:r w:rsidR="006D2AB9">
        <w:t xml:space="preserve"> has lost twice,</w:t>
      </w:r>
      <w:r w:rsidR="000866F5">
        <w:t xml:space="preserve"> as </w:t>
      </w:r>
      <w:r w:rsidR="002B0EA9">
        <w:t xml:space="preserve">being decisive if the balance </w:t>
      </w:r>
      <w:r w:rsidR="008948E3">
        <w:t xml:space="preserve">of the risk of injustice </w:t>
      </w:r>
      <w:r w:rsidR="002B0EA9">
        <w:t>was otherwise even.</w:t>
      </w:r>
      <w:r w:rsidR="00E644E5">
        <w:t xml:space="preserve"> </w:t>
      </w:r>
      <w:r w:rsidR="009A22FE">
        <w:t xml:space="preserve">It can </w:t>
      </w:r>
      <w:r w:rsidR="00DF204D">
        <w:t xml:space="preserve">be </w:t>
      </w:r>
      <w:r w:rsidR="009A22FE">
        <w:t>seen from my reasoning in paragraph 20</w:t>
      </w:r>
      <w:r w:rsidR="00E232C4">
        <w:t xml:space="preserve"> that I agree that this Court’s assessment of the merits of </w:t>
      </w:r>
      <w:r w:rsidR="00E232C4" w:rsidRPr="00E232C4">
        <w:t>AstraZeneca</w:t>
      </w:r>
      <w:r w:rsidR="00E232C4">
        <w:t xml:space="preserve">’s intended application to </w:t>
      </w:r>
      <w:r w:rsidR="00E232C4" w:rsidRPr="00E232C4">
        <w:t>the Supreme Court</w:t>
      </w:r>
      <w:r w:rsidR="00E232C4">
        <w:t xml:space="preserve"> for </w:t>
      </w:r>
      <w:r w:rsidR="005B3531">
        <w:t xml:space="preserve">permission to appeal </w:t>
      </w:r>
      <w:r w:rsidR="00E232C4">
        <w:t>leads to the conclusion</w:t>
      </w:r>
      <w:r w:rsidR="005B3531">
        <w:t xml:space="preserve"> that no </w:t>
      </w:r>
      <w:r w:rsidR="005B3531" w:rsidRPr="005B3531">
        <w:t>interim injunction</w:t>
      </w:r>
      <w:r w:rsidR="005B3531">
        <w:t xml:space="preserve"> should be granted </w:t>
      </w:r>
      <w:r w:rsidR="00FC4F08">
        <w:t xml:space="preserve">pending the determination of that application. As explained in paragraph 22 above, however, we must allow for the possibility that our assessment is mistaken. </w:t>
      </w:r>
      <w:r w:rsidR="007015BF">
        <w:t xml:space="preserve">Thus our </w:t>
      </w:r>
      <w:r w:rsidR="0000196A">
        <w:t>view</w:t>
      </w:r>
      <w:r w:rsidR="007015BF">
        <w:t xml:space="preserve"> </w:t>
      </w:r>
      <w:r w:rsidR="009A207C">
        <w:t xml:space="preserve">of the merits </w:t>
      </w:r>
      <w:r w:rsidR="007015BF">
        <w:t xml:space="preserve">cannot be a bar to </w:t>
      </w:r>
      <w:r w:rsidR="005173D2">
        <w:t xml:space="preserve">the </w:t>
      </w:r>
      <w:r w:rsidR="007015BF">
        <w:t xml:space="preserve">grant of </w:t>
      </w:r>
      <w:r w:rsidR="007015BF" w:rsidRPr="007015BF">
        <w:t>an interim injunction</w:t>
      </w:r>
      <w:r w:rsidR="005173D2">
        <w:t xml:space="preserve"> for 14 days</w:t>
      </w:r>
      <w:r w:rsidR="008B2DE0">
        <w:t xml:space="preserve"> if that is otherwise appropriate</w:t>
      </w:r>
      <w:r w:rsidR="005173D2">
        <w:t xml:space="preserve">. </w:t>
      </w:r>
      <w:r w:rsidR="007015BF">
        <w:t xml:space="preserve"> </w:t>
      </w:r>
      <w:r w:rsidR="002B0EA9">
        <w:t xml:space="preserve">  </w:t>
      </w:r>
    </w:p>
    <w:p w14:paraId="3B7DB1D7" w14:textId="598ACE92" w:rsidR="00933E25" w:rsidRPr="00933E25" w:rsidRDefault="00933E25" w:rsidP="00DF56A7">
      <w:pPr>
        <w:pStyle w:val="ParaHeading"/>
        <w:rPr>
          <w:b/>
          <w:bCs/>
        </w:rPr>
      </w:pPr>
      <w:r w:rsidRPr="00933E25">
        <w:rPr>
          <w:b/>
          <w:bCs/>
        </w:rPr>
        <w:t>Lord Justice Stuart-Smith:</w:t>
      </w:r>
    </w:p>
    <w:p w14:paraId="3BCEAC7F" w14:textId="2959B643" w:rsidR="00933E25" w:rsidRDefault="00DF204D" w:rsidP="00DF56A7">
      <w:pPr>
        <w:pStyle w:val="ParaLevel1"/>
      </w:pPr>
      <w:r>
        <w:t>I agree.</w:t>
      </w:r>
    </w:p>
    <w:p w14:paraId="1A5CC3B0" w14:textId="1C5A9CCD" w:rsidR="00933E25" w:rsidRPr="00933E25" w:rsidRDefault="00933E25" w:rsidP="00DF56A7">
      <w:pPr>
        <w:pStyle w:val="ParaHeading"/>
        <w:rPr>
          <w:b/>
          <w:bCs/>
        </w:rPr>
      </w:pPr>
      <w:r w:rsidRPr="00933E25">
        <w:rPr>
          <w:b/>
          <w:bCs/>
        </w:rPr>
        <w:t>Lady Justice Andrews:</w:t>
      </w:r>
    </w:p>
    <w:p w14:paraId="5603C87A" w14:textId="4536B90C" w:rsidR="004E31E7" w:rsidRDefault="00DF204D" w:rsidP="00DF56A7">
      <w:pPr>
        <w:pStyle w:val="ParaLevel1"/>
      </w:pPr>
      <w:r>
        <w:t>I also agree.</w:t>
      </w:r>
      <w:r w:rsidR="001F56CC">
        <w:t xml:space="preserve"> </w:t>
      </w:r>
      <w:r w:rsidR="00B514D3">
        <w:t xml:space="preserve"> </w:t>
      </w:r>
      <w:r w:rsidR="005A0A50">
        <w:t xml:space="preserve"> </w:t>
      </w:r>
      <w:r w:rsidR="00D6144D">
        <w:t xml:space="preserve"> </w:t>
      </w:r>
      <w:r w:rsidR="004B05ED">
        <w:t xml:space="preserve"> </w:t>
      </w:r>
      <w:r w:rsidR="008026E1">
        <w:t xml:space="preserve">  </w:t>
      </w:r>
      <w:r w:rsidR="00D916F7">
        <w:t xml:space="preserve"> </w:t>
      </w:r>
      <w:r w:rsidR="00664FFD">
        <w:t xml:space="preserve"> </w:t>
      </w:r>
      <w:r w:rsidR="00D2541F">
        <w:t xml:space="preserve"> </w:t>
      </w:r>
      <w:r w:rsidR="00665A91">
        <w:t xml:space="preserve">  </w:t>
      </w:r>
      <w:r w:rsidR="00C82DA5">
        <w:t xml:space="preserve"> </w:t>
      </w:r>
      <w:r w:rsidR="006A5827">
        <w:t xml:space="preserve"> </w:t>
      </w:r>
      <w:r w:rsidR="00D444B4">
        <w:t xml:space="preserve"> </w:t>
      </w:r>
      <w:r w:rsidR="00387B61">
        <w:t xml:space="preserve">  </w:t>
      </w:r>
      <w:r w:rsidR="00982B63">
        <w:t xml:space="preserve"> </w:t>
      </w:r>
      <w:r w:rsidR="004C18EF">
        <w:t xml:space="preserve">  </w:t>
      </w:r>
      <w:r w:rsidR="0011288B">
        <w:t xml:space="preserve"> </w:t>
      </w:r>
      <w:r w:rsidR="00E11143">
        <w:t xml:space="preserve"> </w:t>
      </w:r>
      <w:r w:rsidR="00B46AD9">
        <w:t xml:space="preserve"> </w:t>
      </w:r>
    </w:p>
    <w:p w14:paraId="6C784265" w14:textId="67745062" w:rsidR="00C439A3" w:rsidRPr="0028600D" w:rsidRDefault="003B3FF5" w:rsidP="00DF56A7">
      <w:pPr>
        <w:pStyle w:val="ParaLevel1"/>
        <w:numPr>
          <w:ilvl w:val="0"/>
          <w:numId w:val="0"/>
        </w:numPr>
        <w:ind w:left="720" w:hanging="720"/>
      </w:pPr>
      <w:r w:rsidRPr="0028600D">
        <w:t xml:space="preserve"> </w:t>
      </w:r>
      <w:r w:rsidR="00037C71" w:rsidRPr="0028600D">
        <w:t xml:space="preserve"> </w:t>
      </w:r>
      <w:r w:rsidR="002B1555" w:rsidRPr="0028600D">
        <w:t xml:space="preserve"> </w:t>
      </w:r>
      <w:r w:rsidR="00B777F6" w:rsidRPr="0028600D">
        <w:t xml:space="preserve"> </w:t>
      </w:r>
      <w:r w:rsidR="00F239C4" w:rsidRPr="0028600D">
        <w:t xml:space="preserve"> </w:t>
      </w:r>
      <w:r w:rsidR="004A1DDA" w:rsidRPr="0028600D">
        <w:t xml:space="preserve"> </w:t>
      </w:r>
      <w:r w:rsidR="00E67CB2" w:rsidRPr="0028600D">
        <w:t xml:space="preserve"> </w:t>
      </w:r>
      <w:r w:rsidR="00AF0CE8" w:rsidRPr="0028600D">
        <w:t xml:space="preserve"> </w:t>
      </w:r>
      <w:r w:rsidR="00EB7193" w:rsidRPr="0028600D">
        <w:t xml:space="preserve"> </w:t>
      </w:r>
      <w:r w:rsidR="00A466C7" w:rsidRPr="0028600D">
        <w:t xml:space="preserve"> </w:t>
      </w:r>
      <w:r w:rsidR="0070351F" w:rsidRPr="0028600D">
        <w:t xml:space="preserve"> </w:t>
      </w:r>
      <w:r w:rsidR="007741B7" w:rsidRPr="0028600D">
        <w:t xml:space="preserve"> </w:t>
      </w:r>
      <w:r w:rsidR="001F1AD9" w:rsidRPr="0028600D">
        <w:t xml:space="preserve"> </w:t>
      </w:r>
      <w:r w:rsidR="0066716B" w:rsidRPr="0028600D">
        <w:t xml:space="preserve"> </w:t>
      </w:r>
      <w:r w:rsidR="00B4419B" w:rsidRPr="0028600D">
        <w:t xml:space="preserve"> </w:t>
      </w:r>
      <w:r w:rsidR="00816102" w:rsidRPr="0028600D">
        <w:t xml:space="preserve"> </w:t>
      </w:r>
      <w:r w:rsidR="003B05CD" w:rsidRPr="0028600D">
        <w:t xml:space="preserve"> </w:t>
      </w:r>
      <w:r w:rsidR="003551D5" w:rsidRPr="0028600D">
        <w:t xml:space="preserve"> </w:t>
      </w:r>
      <w:r w:rsidR="00DE0548" w:rsidRPr="0028600D">
        <w:t xml:space="preserve">  </w:t>
      </w:r>
      <w:r w:rsidR="00A65F4B" w:rsidRPr="0028600D">
        <w:t xml:space="preserve"> </w:t>
      </w:r>
      <w:r w:rsidR="000C01FB" w:rsidRPr="0028600D">
        <w:t xml:space="preserve">  </w:t>
      </w:r>
      <w:r w:rsidR="00564212" w:rsidRPr="0028600D">
        <w:t xml:space="preserve"> </w:t>
      </w:r>
    </w:p>
    <w:sectPr w:rsidR="00C439A3" w:rsidRPr="0028600D" w:rsidSect="00DF56A7">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9468C" w14:textId="77777777" w:rsidR="000F1912" w:rsidRDefault="000F1912">
      <w:r>
        <w:separator/>
      </w:r>
    </w:p>
  </w:endnote>
  <w:endnote w:type="continuationSeparator" w:id="0">
    <w:p w14:paraId="249C9538" w14:textId="77777777" w:rsidR="000F1912" w:rsidRDefault="000F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816D9" w14:textId="77777777" w:rsidR="00DF56A7" w:rsidRDefault="00DF5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19D80" w14:textId="77777777" w:rsidR="00C439A3" w:rsidRDefault="00C439A3">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E368D" w14:textId="77777777" w:rsidR="00DF56A7" w:rsidRDefault="00DF56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8D17D" w14:textId="77777777" w:rsidR="00C439A3" w:rsidRPr="00DF56A7" w:rsidRDefault="00C439A3" w:rsidP="00DF5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251FF" w14:textId="77777777" w:rsidR="000F1912" w:rsidRDefault="000F1912">
      <w:r>
        <w:separator/>
      </w:r>
    </w:p>
  </w:footnote>
  <w:footnote w:type="continuationSeparator" w:id="0">
    <w:p w14:paraId="27EC4AE7" w14:textId="77777777" w:rsidR="000F1912" w:rsidRDefault="000F1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F65D" w14:textId="77777777" w:rsidR="00DF56A7" w:rsidRDefault="00DF5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FBDC7" w14:textId="77777777" w:rsidR="00DF56A7" w:rsidRDefault="00DF56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C7113" w14:textId="77777777" w:rsidR="00DF56A7" w:rsidRDefault="00DF56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C439A3" w14:paraId="69452C38" w14:textId="77777777">
      <w:tc>
        <w:tcPr>
          <w:tcW w:w="4622" w:type="dxa"/>
        </w:tcPr>
        <w:p w14:paraId="0500F91E" w14:textId="4010E032" w:rsidR="00C439A3" w:rsidRPr="00DF56A7" w:rsidRDefault="00DF56A7">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1161A009" w14:textId="7DF454AB" w:rsidR="00C439A3" w:rsidRDefault="00B4437F">
          <w:pPr>
            <w:pStyle w:val="Header"/>
            <w:jc w:val="right"/>
            <w:rPr>
              <w:rFonts w:ascii="Times New Roman" w:hAnsi="Times New Roman"/>
              <w:sz w:val="16"/>
            </w:rPr>
          </w:pPr>
          <w:r>
            <w:rPr>
              <w:rFonts w:ascii="Times New Roman" w:hAnsi="Times New Roman"/>
              <w:sz w:val="16"/>
            </w:rPr>
            <w:t>Generics v AstraZeneca (SC injunction)</w:t>
          </w:r>
        </w:p>
      </w:tc>
    </w:tr>
  </w:tbl>
  <w:p w14:paraId="1DBE4DF7"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0F4B6A44"/>
    <w:multiLevelType w:val="hybridMultilevel"/>
    <w:tmpl w:val="750605D0"/>
    <w:lvl w:ilvl="0" w:tplc="3312BC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414673"/>
    <w:multiLevelType w:val="hybridMultilevel"/>
    <w:tmpl w:val="3500B1CE"/>
    <w:lvl w:ilvl="0" w:tplc="1EFC14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D63EEA"/>
    <w:multiLevelType w:val="hybridMultilevel"/>
    <w:tmpl w:val="69DA4EA4"/>
    <w:lvl w:ilvl="0" w:tplc="293C254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AC179E"/>
    <w:multiLevelType w:val="hybridMultilevel"/>
    <w:tmpl w:val="D122AC20"/>
    <w:lvl w:ilvl="0" w:tplc="9E687EB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0"/>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B8"/>
    <w:rsid w:val="0000196A"/>
    <w:rsid w:val="00003FB8"/>
    <w:rsid w:val="00013ACD"/>
    <w:rsid w:val="00016F3A"/>
    <w:rsid w:val="00023125"/>
    <w:rsid w:val="00025656"/>
    <w:rsid w:val="00025F4C"/>
    <w:rsid w:val="0002634B"/>
    <w:rsid w:val="0003611D"/>
    <w:rsid w:val="00037C71"/>
    <w:rsid w:val="00055B12"/>
    <w:rsid w:val="000569FC"/>
    <w:rsid w:val="000600AC"/>
    <w:rsid w:val="000666E3"/>
    <w:rsid w:val="000866F5"/>
    <w:rsid w:val="000A15DD"/>
    <w:rsid w:val="000B1094"/>
    <w:rsid w:val="000B1B41"/>
    <w:rsid w:val="000C01FB"/>
    <w:rsid w:val="000C42F0"/>
    <w:rsid w:val="000C6D30"/>
    <w:rsid w:val="000D2C97"/>
    <w:rsid w:val="000D3183"/>
    <w:rsid w:val="000D40E5"/>
    <w:rsid w:val="000F1912"/>
    <w:rsid w:val="0011288B"/>
    <w:rsid w:val="00113940"/>
    <w:rsid w:val="00121DD2"/>
    <w:rsid w:val="0012431F"/>
    <w:rsid w:val="001304B3"/>
    <w:rsid w:val="00131C0A"/>
    <w:rsid w:val="00132D4A"/>
    <w:rsid w:val="00144564"/>
    <w:rsid w:val="001539F4"/>
    <w:rsid w:val="00170513"/>
    <w:rsid w:val="00174196"/>
    <w:rsid w:val="00175C5F"/>
    <w:rsid w:val="00187A26"/>
    <w:rsid w:val="00196479"/>
    <w:rsid w:val="00197393"/>
    <w:rsid w:val="001A17C8"/>
    <w:rsid w:val="001A3C04"/>
    <w:rsid w:val="001A609B"/>
    <w:rsid w:val="001B34EC"/>
    <w:rsid w:val="001C01EE"/>
    <w:rsid w:val="001C1075"/>
    <w:rsid w:val="001C5E59"/>
    <w:rsid w:val="001C6B73"/>
    <w:rsid w:val="001D3830"/>
    <w:rsid w:val="001E3006"/>
    <w:rsid w:val="001E629C"/>
    <w:rsid w:val="001F1AD9"/>
    <w:rsid w:val="001F4662"/>
    <w:rsid w:val="001F56CC"/>
    <w:rsid w:val="00203FE9"/>
    <w:rsid w:val="00210C22"/>
    <w:rsid w:val="00215EE2"/>
    <w:rsid w:val="0021698B"/>
    <w:rsid w:val="00217E2E"/>
    <w:rsid w:val="00220F41"/>
    <w:rsid w:val="00222916"/>
    <w:rsid w:val="002478B9"/>
    <w:rsid w:val="00251E44"/>
    <w:rsid w:val="00265203"/>
    <w:rsid w:val="002708C1"/>
    <w:rsid w:val="0028600D"/>
    <w:rsid w:val="00290396"/>
    <w:rsid w:val="002907DD"/>
    <w:rsid w:val="00293A5E"/>
    <w:rsid w:val="002A5855"/>
    <w:rsid w:val="002B0EA9"/>
    <w:rsid w:val="002B1555"/>
    <w:rsid w:val="002C1504"/>
    <w:rsid w:val="002C2A28"/>
    <w:rsid w:val="002D3BF7"/>
    <w:rsid w:val="002E4E04"/>
    <w:rsid w:val="002E5DDD"/>
    <w:rsid w:val="00302542"/>
    <w:rsid w:val="003043F4"/>
    <w:rsid w:val="00316C99"/>
    <w:rsid w:val="003257EC"/>
    <w:rsid w:val="00335DEA"/>
    <w:rsid w:val="0035311B"/>
    <w:rsid w:val="003551D5"/>
    <w:rsid w:val="00363A46"/>
    <w:rsid w:val="00367EC6"/>
    <w:rsid w:val="0037122D"/>
    <w:rsid w:val="00371D68"/>
    <w:rsid w:val="00381FAF"/>
    <w:rsid w:val="00383115"/>
    <w:rsid w:val="003856CD"/>
    <w:rsid w:val="00387B61"/>
    <w:rsid w:val="003941C8"/>
    <w:rsid w:val="003A662B"/>
    <w:rsid w:val="003B05CD"/>
    <w:rsid w:val="003B1711"/>
    <w:rsid w:val="003B36F6"/>
    <w:rsid w:val="003B3EC3"/>
    <w:rsid w:val="003B3FF5"/>
    <w:rsid w:val="003B5258"/>
    <w:rsid w:val="003C10DF"/>
    <w:rsid w:val="003C240A"/>
    <w:rsid w:val="003C402C"/>
    <w:rsid w:val="003C45A7"/>
    <w:rsid w:val="003C5D3B"/>
    <w:rsid w:val="003D244E"/>
    <w:rsid w:val="003D58D8"/>
    <w:rsid w:val="003F213C"/>
    <w:rsid w:val="003F31A0"/>
    <w:rsid w:val="003F385B"/>
    <w:rsid w:val="003F5828"/>
    <w:rsid w:val="00411D36"/>
    <w:rsid w:val="0042131E"/>
    <w:rsid w:val="004348C8"/>
    <w:rsid w:val="004377C2"/>
    <w:rsid w:val="00437BF8"/>
    <w:rsid w:val="00465810"/>
    <w:rsid w:val="00465D5B"/>
    <w:rsid w:val="00480455"/>
    <w:rsid w:val="00482CD7"/>
    <w:rsid w:val="00482D1E"/>
    <w:rsid w:val="004935C7"/>
    <w:rsid w:val="004A1DDA"/>
    <w:rsid w:val="004A33DB"/>
    <w:rsid w:val="004A6B13"/>
    <w:rsid w:val="004B05ED"/>
    <w:rsid w:val="004B0B64"/>
    <w:rsid w:val="004B3F3F"/>
    <w:rsid w:val="004C025D"/>
    <w:rsid w:val="004C112F"/>
    <w:rsid w:val="004C18EF"/>
    <w:rsid w:val="004C460D"/>
    <w:rsid w:val="004D1ECA"/>
    <w:rsid w:val="004D3F1A"/>
    <w:rsid w:val="004E31E7"/>
    <w:rsid w:val="004F29C9"/>
    <w:rsid w:val="0050071E"/>
    <w:rsid w:val="005120D4"/>
    <w:rsid w:val="005173D2"/>
    <w:rsid w:val="00527354"/>
    <w:rsid w:val="005367A6"/>
    <w:rsid w:val="00542668"/>
    <w:rsid w:val="005473C5"/>
    <w:rsid w:val="0055329D"/>
    <w:rsid w:val="00554125"/>
    <w:rsid w:val="005545A5"/>
    <w:rsid w:val="00557A7A"/>
    <w:rsid w:val="00564212"/>
    <w:rsid w:val="00571AED"/>
    <w:rsid w:val="0058385F"/>
    <w:rsid w:val="00584EB4"/>
    <w:rsid w:val="00587BD3"/>
    <w:rsid w:val="00590F48"/>
    <w:rsid w:val="005A0A50"/>
    <w:rsid w:val="005B0E84"/>
    <w:rsid w:val="005B0F42"/>
    <w:rsid w:val="005B3531"/>
    <w:rsid w:val="005C2D7E"/>
    <w:rsid w:val="005D2B4A"/>
    <w:rsid w:val="005E2A41"/>
    <w:rsid w:val="005E575D"/>
    <w:rsid w:val="005E7462"/>
    <w:rsid w:val="005E7D47"/>
    <w:rsid w:val="005F599D"/>
    <w:rsid w:val="006037C4"/>
    <w:rsid w:val="006071F6"/>
    <w:rsid w:val="0061768A"/>
    <w:rsid w:val="006243B3"/>
    <w:rsid w:val="006262E2"/>
    <w:rsid w:val="00626372"/>
    <w:rsid w:val="006373F4"/>
    <w:rsid w:val="0064728A"/>
    <w:rsid w:val="0065526F"/>
    <w:rsid w:val="006564F4"/>
    <w:rsid w:val="00660AEE"/>
    <w:rsid w:val="00664FFD"/>
    <w:rsid w:val="00665A91"/>
    <w:rsid w:val="00666B24"/>
    <w:rsid w:val="0066716B"/>
    <w:rsid w:val="00681FC6"/>
    <w:rsid w:val="00695F8A"/>
    <w:rsid w:val="006A092A"/>
    <w:rsid w:val="006A26AC"/>
    <w:rsid w:val="006A5827"/>
    <w:rsid w:val="006A5EC6"/>
    <w:rsid w:val="006B474E"/>
    <w:rsid w:val="006C1D26"/>
    <w:rsid w:val="006D2AB9"/>
    <w:rsid w:val="006D5048"/>
    <w:rsid w:val="006D6669"/>
    <w:rsid w:val="006E1E12"/>
    <w:rsid w:val="006E7990"/>
    <w:rsid w:val="006F4A43"/>
    <w:rsid w:val="006F644A"/>
    <w:rsid w:val="007015BF"/>
    <w:rsid w:val="0070351F"/>
    <w:rsid w:val="007056EE"/>
    <w:rsid w:val="00705B51"/>
    <w:rsid w:val="0072334E"/>
    <w:rsid w:val="00730E72"/>
    <w:rsid w:val="00732EAF"/>
    <w:rsid w:val="0074103D"/>
    <w:rsid w:val="00743792"/>
    <w:rsid w:val="007457B3"/>
    <w:rsid w:val="007458A2"/>
    <w:rsid w:val="00751B76"/>
    <w:rsid w:val="00760671"/>
    <w:rsid w:val="00761202"/>
    <w:rsid w:val="00764615"/>
    <w:rsid w:val="00767EBF"/>
    <w:rsid w:val="007741B7"/>
    <w:rsid w:val="00780F82"/>
    <w:rsid w:val="007824AD"/>
    <w:rsid w:val="00785736"/>
    <w:rsid w:val="00787F87"/>
    <w:rsid w:val="00794351"/>
    <w:rsid w:val="007A159D"/>
    <w:rsid w:val="007C1176"/>
    <w:rsid w:val="007D1695"/>
    <w:rsid w:val="007D3E08"/>
    <w:rsid w:val="007D6061"/>
    <w:rsid w:val="007F2528"/>
    <w:rsid w:val="00801FA4"/>
    <w:rsid w:val="008026E1"/>
    <w:rsid w:val="008037E0"/>
    <w:rsid w:val="00804658"/>
    <w:rsid w:val="008118DE"/>
    <w:rsid w:val="00816102"/>
    <w:rsid w:val="00824AE7"/>
    <w:rsid w:val="008345E7"/>
    <w:rsid w:val="0084623A"/>
    <w:rsid w:val="00846445"/>
    <w:rsid w:val="00856469"/>
    <w:rsid w:val="008642D0"/>
    <w:rsid w:val="00864C33"/>
    <w:rsid w:val="008729A5"/>
    <w:rsid w:val="008778CD"/>
    <w:rsid w:val="0088042B"/>
    <w:rsid w:val="00890B1A"/>
    <w:rsid w:val="008948E3"/>
    <w:rsid w:val="008A6122"/>
    <w:rsid w:val="008B2DE0"/>
    <w:rsid w:val="008B43C6"/>
    <w:rsid w:val="008B564D"/>
    <w:rsid w:val="008B6E8A"/>
    <w:rsid w:val="008D7B7D"/>
    <w:rsid w:val="008F5A17"/>
    <w:rsid w:val="008F6B21"/>
    <w:rsid w:val="008F7FBF"/>
    <w:rsid w:val="009044A1"/>
    <w:rsid w:val="00905987"/>
    <w:rsid w:val="009154B7"/>
    <w:rsid w:val="00917B20"/>
    <w:rsid w:val="009332D8"/>
    <w:rsid w:val="00933E25"/>
    <w:rsid w:val="00937D2C"/>
    <w:rsid w:val="0095242A"/>
    <w:rsid w:val="009561A3"/>
    <w:rsid w:val="00982B63"/>
    <w:rsid w:val="00983C2D"/>
    <w:rsid w:val="009860AA"/>
    <w:rsid w:val="0098773B"/>
    <w:rsid w:val="00987FAD"/>
    <w:rsid w:val="00992984"/>
    <w:rsid w:val="0099429B"/>
    <w:rsid w:val="0099435D"/>
    <w:rsid w:val="009A0399"/>
    <w:rsid w:val="009A0554"/>
    <w:rsid w:val="009A207C"/>
    <w:rsid w:val="009A22FE"/>
    <w:rsid w:val="009A63D1"/>
    <w:rsid w:val="009B1AA6"/>
    <w:rsid w:val="009C1B35"/>
    <w:rsid w:val="009C25B1"/>
    <w:rsid w:val="009D0743"/>
    <w:rsid w:val="009D5B90"/>
    <w:rsid w:val="009E1C75"/>
    <w:rsid w:val="009E563D"/>
    <w:rsid w:val="009F01AB"/>
    <w:rsid w:val="009F0937"/>
    <w:rsid w:val="009F183E"/>
    <w:rsid w:val="009F7CF4"/>
    <w:rsid w:val="00A07559"/>
    <w:rsid w:val="00A07871"/>
    <w:rsid w:val="00A1562A"/>
    <w:rsid w:val="00A30C5E"/>
    <w:rsid w:val="00A32B26"/>
    <w:rsid w:val="00A35DDA"/>
    <w:rsid w:val="00A466C7"/>
    <w:rsid w:val="00A537F7"/>
    <w:rsid w:val="00A644C9"/>
    <w:rsid w:val="00A65F4B"/>
    <w:rsid w:val="00A732F2"/>
    <w:rsid w:val="00A73B56"/>
    <w:rsid w:val="00A8034C"/>
    <w:rsid w:val="00A900F3"/>
    <w:rsid w:val="00AA04BB"/>
    <w:rsid w:val="00AA2629"/>
    <w:rsid w:val="00AA31D6"/>
    <w:rsid w:val="00AA6CB3"/>
    <w:rsid w:val="00AA790C"/>
    <w:rsid w:val="00AB3083"/>
    <w:rsid w:val="00AC01C6"/>
    <w:rsid w:val="00AC5EBC"/>
    <w:rsid w:val="00AD2E18"/>
    <w:rsid w:val="00AD4DB8"/>
    <w:rsid w:val="00AE0262"/>
    <w:rsid w:val="00AF0CE8"/>
    <w:rsid w:val="00AF2C59"/>
    <w:rsid w:val="00AF53B0"/>
    <w:rsid w:val="00B04B1D"/>
    <w:rsid w:val="00B06786"/>
    <w:rsid w:val="00B0727B"/>
    <w:rsid w:val="00B07542"/>
    <w:rsid w:val="00B07E75"/>
    <w:rsid w:val="00B12966"/>
    <w:rsid w:val="00B219DC"/>
    <w:rsid w:val="00B223BB"/>
    <w:rsid w:val="00B23412"/>
    <w:rsid w:val="00B24ECD"/>
    <w:rsid w:val="00B30DE8"/>
    <w:rsid w:val="00B31F76"/>
    <w:rsid w:val="00B4419B"/>
    <w:rsid w:val="00B4437F"/>
    <w:rsid w:val="00B46AD9"/>
    <w:rsid w:val="00B514D3"/>
    <w:rsid w:val="00B517EE"/>
    <w:rsid w:val="00B70E0D"/>
    <w:rsid w:val="00B7700F"/>
    <w:rsid w:val="00B777F6"/>
    <w:rsid w:val="00B81B03"/>
    <w:rsid w:val="00B903CB"/>
    <w:rsid w:val="00B96F80"/>
    <w:rsid w:val="00BA76DC"/>
    <w:rsid w:val="00BB485E"/>
    <w:rsid w:val="00BC6B6F"/>
    <w:rsid w:val="00BD31C0"/>
    <w:rsid w:val="00BD4E1F"/>
    <w:rsid w:val="00BF323D"/>
    <w:rsid w:val="00BF3434"/>
    <w:rsid w:val="00BF3BE5"/>
    <w:rsid w:val="00BF5CEC"/>
    <w:rsid w:val="00C21869"/>
    <w:rsid w:val="00C22125"/>
    <w:rsid w:val="00C22167"/>
    <w:rsid w:val="00C30D17"/>
    <w:rsid w:val="00C34625"/>
    <w:rsid w:val="00C41FEA"/>
    <w:rsid w:val="00C4221A"/>
    <w:rsid w:val="00C439A3"/>
    <w:rsid w:val="00C43A95"/>
    <w:rsid w:val="00C448AC"/>
    <w:rsid w:val="00C808A0"/>
    <w:rsid w:val="00C82DA5"/>
    <w:rsid w:val="00C83777"/>
    <w:rsid w:val="00C91385"/>
    <w:rsid w:val="00CA4E3E"/>
    <w:rsid w:val="00CB4006"/>
    <w:rsid w:val="00CB7515"/>
    <w:rsid w:val="00CC6181"/>
    <w:rsid w:val="00CD4FA8"/>
    <w:rsid w:val="00CD7983"/>
    <w:rsid w:val="00CE21D7"/>
    <w:rsid w:val="00D034DE"/>
    <w:rsid w:val="00D129AB"/>
    <w:rsid w:val="00D21EFC"/>
    <w:rsid w:val="00D2541F"/>
    <w:rsid w:val="00D33F0F"/>
    <w:rsid w:val="00D444B4"/>
    <w:rsid w:val="00D55161"/>
    <w:rsid w:val="00D56AEF"/>
    <w:rsid w:val="00D6144D"/>
    <w:rsid w:val="00D61808"/>
    <w:rsid w:val="00D916F7"/>
    <w:rsid w:val="00D920C5"/>
    <w:rsid w:val="00D94507"/>
    <w:rsid w:val="00D95E77"/>
    <w:rsid w:val="00DA50EA"/>
    <w:rsid w:val="00DB36B7"/>
    <w:rsid w:val="00DC3642"/>
    <w:rsid w:val="00DC54D1"/>
    <w:rsid w:val="00DC5853"/>
    <w:rsid w:val="00DE0548"/>
    <w:rsid w:val="00DE4F19"/>
    <w:rsid w:val="00DF204D"/>
    <w:rsid w:val="00DF35F9"/>
    <w:rsid w:val="00DF56A7"/>
    <w:rsid w:val="00E00988"/>
    <w:rsid w:val="00E03A2C"/>
    <w:rsid w:val="00E11143"/>
    <w:rsid w:val="00E20F60"/>
    <w:rsid w:val="00E22B69"/>
    <w:rsid w:val="00E232C4"/>
    <w:rsid w:val="00E325B7"/>
    <w:rsid w:val="00E33C9A"/>
    <w:rsid w:val="00E3684C"/>
    <w:rsid w:val="00E36D2D"/>
    <w:rsid w:val="00E4157E"/>
    <w:rsid w:val="00E42259"/>
    <w:rsid w:val="00E43E42"/>
    <w:rsid w:val="00E505DD"/>
    <w:rsid w:val="00E6280C"/>
    <w:rsid w:val="00E644E5"/>
    <w:rsid w:val="00E67CB2"/>
    <w:rsid w:val="00E72F22"/>
    <w:rsid w:val="00E77C62"/>
    <w:rsid w:val="00E81996"/>
    <w:rsid w:val="00E82A17"/>
    <w:rsid w:val="00E83C4C"/>
    <w:rsid w:val="00E90A25"/>
    <w:rsid w:val="00E95DD0"/>
    <w:rsid w:val="00EA4D04"/>
    <w:rsid w:val="00EB18DF"/>
    <w:rsid w:val="00EB1E18"/>
    <w:rsid w:val="00EB7193"/>
    <w:rsid w:val="00EB7FA4"/>
    <w:rsid w:val="00EC3D34"/>
    <w:rsid w:val="00EC4301"/>
    <w:rsid w:val="00EC57AA"/>
    <w:rsid w:val="00EE6FE5"/>
    <w:rsid w:val="00EF56D6"/>
    <w:rsid w:val="00EF6D54"/>
    <w:rsid w:val="00F04212"/>
    <w:rsid w:val="00F15CA4"/>
    <w:rsid w:val="00F229C6"/>
    <w:rsid w:val="00F239C4"/>
    <w:rsid w:val="00F23D2C"/>
    <w:rsid w:val="00F23E3C"/>
    <w:rsid w:val="00F2491E"/>
    <w:rsid w:val="00F34C19"/>
    <w:rsid w:val="00F372D9"/>
    <w:rsid w:val="00F376CB"/>
    <w:rsid w:val="00F46628"/>
    <w:rsid w:val="00F50AFF"/>
    <w:rsid w:val="00F57734"/>
    <w:rsid w:val="00F604F6"/>
    <w:rsid w:val="00F64B87"/>
    <w:rsid w:val="00F64CB6"/>
    <w:rsid w:val="00F9060E"/>
    <w:rsid w:val="00FA2484"/>
    <w:rsid w:val="00FB3182"/>
    <w:rsid w:val="00FC4F08"/>
    <w:rsid w:val="00FE1B4D"/>
    <w:rsid w:val="00FE471B"/>
    <w:rsid w:val="00FE6997"/>
    <w:rsid w:val="00FE6AC7"/>
    <w:rsid w:val="00FF7B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F8EBD"/>
  <w15:chartTrackingRefBased/>
  <w15:docId w15:val="{64633905-74E0-4533-A154-9F256FE8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72608">
      <w:bodyDiv w:val="1"/>
      <w:marLeft w:val="0"/>
      <w:marRight w:val="0"/>
      <w:marTop w:val="0"/>
      <w:marBottom w:val="0"/>
      <w:divBdr>
        <w:top w:val="none" w:sz="0" w:space="0" w:color="auto"/>
        <w:left w:val="none" w:sz="0" w:space="0" w:color="auto"/>
        <w:bottom w:val="none" w:sz="0" w:space="0" w:color="auto"/>
        <w:right w:val="none" w:sz="0" w:space="0" w:color="auto"/>
      </w:divBdr>
    </w:div>
    <w:div w:id="180826055">
      <w:bodyDiv w:val="1"/>
      <w:marLeft w:val="0"/>
      <w:marRight w:val="0"/>
      <w:marTop w:val="0"/>
      <w:marBottom w:val="0"/>
      <w:divBdr>
        <w:top w:val="none" w:sz="0" w:space="0" w:color="auto"/>
        <w:left w:val="none" w:sz="0" w:space="0" w:color="auto"/>
        <w:bottom w:val="none" w:sz="0" w:space="0" w:color="auto"/>
        <w:right w:val="none" w:sz="0" w:space="0" w:color="auto"/>
      </w:divBdr>
    </w:div>
    <w:div w:id="569075792">
      <w:bodyDiv w:val="1"/>
      <w:marLeft w:val="0"/>
      <w:marRight w:val="0"/>
      <w:marTop w:val="0"/>
      <w:marBottom w:val="0"/>
      <w:divBdr>
        <w:top w:val="none" w:sz="0" w:space="0" w:color="auto"/>
        <w:left w:val="none" w:sz="0" w:space="0" w:color="auto"/>
        <w:bottom w:val="none" w:sz="0" w:space="0" w:color="auto"/>
        <w:right w:val="none" w:sz="0" w:space="0" w:color="auto"/>
      </w:divBdr>
    </w:div>
    <w:div w:id="681082200">
      <w:bodyDiv w:val="1"/>
      <w:marLeft w:val="0"/>
      <w:marRight w:val="0"/>
      <w:marTop w:val="0"/>
      <w:marBottom w:val="0"/>
      <w:divBdr>
        <w:top w:val="none" w:sz="0" w:space="0" w:color="auto"/>
        <w:left w:val="none" w:sz="0" w:space="0" w:color="auto"/>
        <w:bottom w:val="none" w:sz="0" w:space="0" w:color="auto"/>
        <w:right w:val="none" w:sz="0" w:space="0" w:color="auto"/>
      </w:divBdr>
    </w:div>
    <w:div w:id="807473007">
      <w:bodyDiv w:val="1"/>
      <w:marLeft w:val="0"/>
      <w:marRight w:val="0"/>
      <w:marTop w:val="0"/>
      <w:marBottom w:val="0"/>
      <w:divBdr>
        <w:top w:val="none" w:sz="0" w:space="0" w:color="auto"/>
        <w:left w:val="none" w:sz="0" w:space="0" w:color="auto"/>
        <w:bottom w:val="none" w:sz="0" w:space="0" w:color="auto"/>
        <w:right w:val="none" w:sz="0" w:space="0" w:color="auto"/>
      </w:divBdr>
    </w:div>
    <w:div w:id="842234988">
      <w:bodyDiv w:val="1"/>
      <w:marLeft w:val="0"/>
      <w:marRight w:val="0"/>
      <w:marTop w:val="0"/>
      <w:marBottom w:val="0"/>
      <w:divBdr>
        <w:top w:val="none" w:sz="0" w:space="0" w:color="auto"/>
        <w:left w:val="none" w:sz="0" w:space="0" w:color="auto"/>
        <w:bottom w:val="none" w:sz="0" w:space="0" w:color="auto"/>
        <w:right w:val="none" w:sz="0" w:space="0" w:color="auto"/>
      </w:divBdr>
    </w:div>
    <w:div w:id="983312421">
      <w:bodyDiv w:val="1"/>
      <w:marLeft w:val="0"/>
      <w:marRight w:val="0"/>
      <w:marTop w:val="0"/>
      <w:marBottom w:val="0"/>
      <w:divBdr>
        <w:top w:val="none" w:sz="0" w:space="0" w:color="auto"/>
        <w:left w:val="none" w:sz="0" w:space="0" w:color="auto"/>
        <w:bottom w:val="none" w:sz="0" w:space="0" w:color="auto"/>
        <w:right w:val="none" w:sz="0" w:space="0" w:color="auto"/>
      </w:divBdr>
    </w:div>
    <w:div w:id="1272853877">
      <w:bodyDiv w:val="1"/>
      <w:marLeft w:val="0"/>
      <w:marRight w:val="0"/>
      <w:marTop w:val="0"/>
      <w:marBottom w:val="0"/>
      <w:divBdr>
        <w:top w:val="none" w:sz="0" w:space="0" w:color="auto"/>
        <w:left w:val="none" w:sz="0" w:space="0" w:color="auto"/>
        <w:bottom w:val="none" w:sz="0" w:space="0" w:color="auto"/>
        <w:right w:val="none" w:sz="0" w:space="0" w:color="auto"/>
      </w:divBdr>
    </w:div>
    <w:div w:id="1301498455">
      <w:bodyDiv w:val="1"/>
      <w:marLeft w:val="0"/>
      <w:marRight w:val="0"/>
      <w:marTop w:val="0"/>
      <w:marBottom w:val="0"/>
      <w:divBdr>
        <w:top w:val="none" w:sz="0" w:space="0" w:color="auto"/>
        <w:left w:val="none" w:sz="0" w:space="0" w:color="auto"/>
        <w:bottom w:val="none" w:sz="0" w:space="0" w:color="auto"/>
        <w:right w:val="none" w:sz="0" w:space="0" w:color="auto"/>
      </w:divBdr>
    </w:div>
    <w:div w:id="1367752019">
      <w:bodyDiv w:val="1"/>
      <w:marLeft w:val="0"/>
      <w:marRight w:val="0"/>
      <w:marTop w:val="0"/>
      <w:marBottom w:val="0"/>
      <w:divBdr>
        <w:top w:val="none" w:sz="0" w:space="0" w:color="auto"/>
        <w:left w:val="none" w:sz="0" w:space="0" w:color="auto"/>
        <w:bottom w:val="none" w:sz="0" w:space="0" w:color="auto"/>
        <w:right w:val="none" w:sz="0" w:space="0" w:color="auto"/>
      </w:divBdr>
    </w:div>
    <w:div w:id="1397316166">
      <w:bodyDiv w:val="1"/>
      <w:marLeft w:val="0"/>
      <w:marRight w:val="0"/>
      <w:marTop w:val="0"/>
      <w:marBottom w:val="0"/>
      <w:divBdr>
        <w:top w:val="none" w:sz="0" w:space="0" w:color="auto"/>
        <w:left w:val="none" w:sz="0" w:space="0" w:color="auto"/>
        <w:bottom w:val="none" w:sz="0" w:space="0" w:color="auto"/>
        <w:right w:val="none" w:sz="0" w:space="0" w:color="auto"/>
      </w:divBdr>
    </w:div>
    <w:div w:id="1431899275">
      <w:bodyDiv w:val="1"/>
      <w:marLeft w:val="0"/>
      <w:marRight w:val="0"/>
      <w:marTop w:val="0"/>
      <w:marBottom w:val="0"/>
      <w:divBdr>
        <w:top w:val="none" w:sz="0" w:space="0" w:color="auto"/>
        <w:left w:val="none" w:sz="0" w:space="0" w:color="auto"/>
        <w:bottom w:val="none" w:sz="0" w:space="0" w:color="auto"/>
        <w:right w:val="none" w:sz="0" w:space="0" w:color="auto"/>
      </w:divBdr>
    </w:div>
    <w:div w:id="1435900688">
      <w:bodyDiv w:val="1"/>
      <w:marLeft w:val="0"/>
      <w:marRight w:val="0"/>
      <w:marTop w:val="0"/>
      <w:marBottom w:val="0"/>
      <w:divBdr>
        <w:top w:val="none" w:sz="0" w:space="0" w:color="auto"/>
        <w:left w:val="none" w:sz="0" w:space="0" w:color="auto"/>
        <w:bottom w:val="none" w:sz="0" w:space="0" w:color="auto"/>
        <w:right w:val="none" w:sz="0" w:space="0" w:color="auto"/>
      </w:divBdr>
    </w:div>
    <w:div w:id="1536188965">
      <w:bodyDiv w:val="1"/>
      <w:marLeft w:val="0"/>
      <w:marRight w:val="0"/>
      <w:marTop w:val="0"/>
      <w:marBottom w:val="0"/>
      <w:divBdr>
        <w:top w:val="none" w:sz="0" w:space="0" w:color="auto"/>
        <w:left w:val="none" w:sz="0" w:space="0" w:color="auto"/>
        <w:bottom w:val="none" w:sz="0" w:space="0" w:color="auto"/>
        <w:right w:val="none" w:sz="0" w:space="0" w:color="auto"/>
      </w:divBdr>
    </w:div>
    <w:div w:id="1675643741">
      <w:bodyDiv w:val="1"/>
      <w:marLeft w:val="0"/>
      <w:marRight w:val="0"/>
      <w:marTop w:val="0"/>
      <w:marBottom w:val="0"/>
      <w:divBdr>
        <w:top w:val="none" w:sz="0" w:space="0" w:color="auto"/>
        <w:left w:val="none" w:sz="0" w:space="0" w:color="auto"/>
        <w:bottom w:val="none" w:sz="0" w:space="0" w:color="auto"/>
        <w:right w:val="none" w:sz="0" w:space="0" w:color="auto"/>
      </w:divBdr>
    </w:div>
    <w:div w:id="1807039616">
      <w:bodyDiv w:val="1"/>
      <w:marLeft w:val="0"/>
      <w:marRight w:val="0"/>
      <w:marTop w:val="0"/>
      <w:marBottom w:val="0"/>
      <w:divBdr>
        <w:top w:val="none" w:sz="0" w:space="0" w:color="auto"/>
        <w:left w:val="none" w:sz="0" w:space="0" w:color="auto"/>
        <w:bottom w:val="none" w:sz="0" w:space="0" w:color="auto"/>
        <w:right w:val="none" w:sz="0" w:space="0" w:color="auto"/>
      </w:divBdr>
    </w:div>
    <w:div w:id="2093894030">
      <w:bodyDiv w:val="1"/>
      <w:marLeft w:val="0"/>
      <w:marRight w:val="0"/>
      <w:marTop w:val="0"/>
      <w:marBottom w:val="0"/>
      <w:divBdr>
        <w:top w:val="none" w:sz="0" w:space="0" w:color="auto"/>
        <w:left w:val="none" w:sz="0" w:space="0" w:color="auto"/>
        <w:bottom w:val="none" w:sz="0" w:space="0" w:color="auto"/>
        <w:right w:val="none" w:sz="0" w:space="0" w:color="auto"/>
      </w:divBdr>
    </w:div>
    <w:div w:id="214311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noldLordJustice\AppData\Roaming\JudgmentTemplate\ca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30C26-4DFA-45EE-BD95-4818E5176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Template>
  <TotalTime>0</TotalTime>
  <Pages>8</Pages>
  <Words>3173</Words>
  <Characters>18089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Arnold, Lord Justice</dc:creator>
  <cp:keywords/>
  <dc:description/>
  <cp:lastModifiedBy>pati-svc</cp:lastModifiedBy>
  <cp:revision>2</cp:revision>
  <dcterms:created xsi:type="dcterms:W3CDTF">2025-07-21T09:31:00Z</dcterms:created>
  <dcterms:modified xsi:type="dcterms:W3CDTF">2025-07-21T09:31:00Z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CaseNum">
    <vt:lpwstr>CA-2025-001040-A</vt:lpwstr>
  </property>
  <property fmtid="{D5CDD505-2E9C-101B-9397-08002B2CF9AE}" pid="9" name="NCJudge">
    <vt:lpwstr>LORD JUSTICE ARNOLD</vt:lpwstr>
  </property>
  <property fmtid="{D5CDD505-2E9C-101B-9397-08002B2CF9AE}" pid="10" name="NCCaseTitle">
    <vt:lpwstr>Generics v AstraZeneca (SC injunction)</vt:lpwstr>
  </property>
  <property fmtid="{D5CDD505-2E9C-101B-9397-08002B2CF9AE}" pid="11" name="NCNumber">
    <vt:lpwstr>[2025] EWCA Civ 924</vt:lpwstr>
  </property>
  <property fmtid="{D5CDD505-2E9C-101B-9397-08002B2CF9AE}" pid="12" name="NCJudgeDate">
    <vt:lpwstr>21/07/2025</vt:lpwstr>
  </property>
</Properties>
</file>